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45" w:rsidRDefault="00BE6A45">
      <w:pPr>
        <w:rPr>
          <w:rFonts w:ascii="Times New Roman" w:eastAsia="方正小标宋简体" w:hAnsi="Times New Roman"/>
          <w:sz w:val="44"/>
          <w:szCs w:val="44"/>
        </w:rPr>
      </w:pPr>
    </w:p>
    <w:p w:rsidR="00BE6A45" w:rsidRDefault="00BE6A45">
      <w:pPr>
        <w:spacing w:line="200" w:lineRule="exact"/>
        <w:rPr>
          <w:rFonts w:ascii="Times New Roman" w:eastAsia="方正小标宋简体" w:hAnsi="Times New Roman"/>
          <w:sz w:val="44"/>
          <w:szCs w:val="44"/>
        </w:rPr>
      </w:pPr>
    </w:p>
    <w:p w:rsidR="00BE6A45" w:rsidRDefault="00BE6A45">
      <w:pPr>
        <w:spacing w:line="600" w:lineRule="exact"/>
        <w:rPr>
          <w:rFonts w:ascii="Times New Roman" w:eastAsia="方正小标宋简体" w:hAnsi="Times New Roman"/>
          <w:sz w:val="44"/>
          <w:szCs w:val="44"/>
        </w:rPr>
      </w:pPr>
    </w:p>
    <w:p w:rsidR="00BE6A45" w:rsidRDefault="00BE6A45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E6A45" w:rsidRDefault="00BE6A45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E6A45" w:rsidRDefault="00BE6A45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E6A45" w:rsidRDefault="00BE6A45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E6A45" w:rsidRDefault="00BE6A45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E6A45" w:rsidRDefault="003971A7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袁府办发〔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BE6A45" w:rsidRDefault="00BE6A45">
      <w:pPr>
        <w:spacing w:line="600" w:lineRule="exact"/>
        <w:rPr>
          <w:szCs w:val="32"/>
        </w:rPr>
      </w:pPr>
    </w:p>
    <w:p w:rsidR="00BE6A45" w:rsidRDefault="00BE6A45">
      <w:pPr>
        <w:spacing w:line="600" w:lineRule="exact"/>
        <w:jc w:val="center"/>
        <w:rPr>
          <w:rFonts w:eastAsia="方正小标宋简体"/>
          <w:szCs w:val="32"/>
        </w:rPr>
      </w:pPr>
    </w:p>
    <w:p w:rsidR="00BE6A45" w:rsidRDefault="003971A7">
      <w:pPr>
        <w:spacing w:line="660" w:lineRule="exact"/>
        <w:jc w:val="center"/>
        <w:rPr>
          <w:rFonts w:ascii="方正小标宋简体" w:eastAsia="方正小标宋简体" w:hAnsi="黑体"/>
          <w:bCs/>
          <w:spacing w:val="-6"/>
          <w:sz w:val="44"/>
          <w:szCs w:val="36"/>
        </w:rPr>
      </w:pPr>
      <w:r>
        <w:rPr>
          <w:rFonts w:eastAsia="方正小标宋简体" w:hint="eastAsia"/>
          <w:bCs/>
          <w:color w:val="000000"/>
          <w:spacing w:val="-6"/>
          <w:sz w:val="44"/>
          <w:szCs w:val="44"/>
        </w:rPr>
        <w:t>宜春市袁州区人民政府办公室</w:t>
      </w:r>
    </w:p>
    <w:p w:rsidR="00BE6A45" w:rsidRDefault="003971A7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eastAsia="方正小标宋简体" w:hint="eastAsia"/>
          <w:spacing w:val="-6"/>
          <w:sz w:val="44"/>
          <w:szCs w:val="44"/>
        </w:rPr>
        <w:t>印发</w:t>
      </w:r>
      <w:proofErr w:type="gramStart"/>
      <w:r>
        <w:rPr>
          <w:rFonts w:eastAsia="方正小标宋简体" w:hint="eastAsia"/>
          <w:spacing w:val="-6"/>
          <w:sz w:val="44"/>
          <w:szCs w:val="44"/>
        </w:rPr>
        <w:t>《</w:t>
      </w:r>
      <w:proofErr w:type="gramEnd"/>
      <w:r>
        <w:rPr>
          <w:rFonts w:eastAsia="方正小标宋简体" w:hint="eastAsia"/>
          <w:sz w:val="44"/>
          <w:szCs w:val="44"/>
        </w:rPr>
        <w:t>袁州区企业“投资者绿卡”管理</w:t>
      </w:r>
    </w:p>
    <w:p w:rsidR="00BE6A45" w:rsidRDefault="003971A7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办法</w:t>
      </w:r>
      <w:proofErr w:type="gramStart"/>
      <w:r>
        <w:rPr>
          <w:rFonts w:eastAsia="方正小标宋简体" w:hint="eastAsia"/>
          <w:sz w:val="44"/>
          <w:szCs w:val="44"/>
        </w:rPr>
        <w:t>》</w:t>
      </w:r>
      <w:proofErr w:type="gramEnd"/>
      <w:r>
        <w:rPr>
          <w:rFonts w:eastAsia="方正小标宋简体" w:hint="eastAsia"/>
          <w:sz w:val="44"/>
          <w:szCs w:val="44"/>
        </w:rPr>
        <w:t>的通知</w:t>
      </w:r>
    </w:p>
    <w:p w:rsidR="00BE6A45" w:rsidRDefault="00BE6A45">
      <w:pPr>
        <w:shd w:val="clear" w:color="auto" w:fill="FFFFFF"/>
        <w:spacing w:line="590" w:lineRule="exact"/>
        <w:jc w:val="center"/>
        <w:rPr>
          <w:szCs w:val="32"/>
        </w:rPr>
      </w:pPr>
    </w:p>
    <w:p w:rsidR="00BE6A45" w:rsidRDefault="003971A7">
      <w:pPr>
        <w:spacing w:line="59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各乡镇人民政府、街道办事处，区政府各部门，区直各单位：</w:t>
      </w:r>
    </w:p>
    <w:p w:rsidR="00BE6A45" w:rsidRDefault="003971A7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经区政府同意，现将《</w:t>
      </w:r>
      <w:r>
        <w:rPr>
          <w:rFonts w:ascii="Times New Roman" w:eastAsia="仿宋_GB2312" w:hAnsi="Times New Roman" w:hint="eastAsia"/>
          <w:sz w:val="32"/>
          <w:szCs w:val="32"/>
        </w:rPr>
        <w:t>袁州区企业“投资者绿卡”管理办法</w:t>
      </w:r>
      <w:r>
        <w:rPr>
          <w:rFonts w:ascii="Times New Roman" w:eastAsia="仿宋_GB2312" w:hAnsi="Times New Roman"/>
          <w:sz w:val="32"/>
          <w:szCs w:val="32"/>
        </w:rPr>
        <w:t>》印发给你们</w:t>
      </w:r>
      <w:r>
        <w:rPr>
          <w:rFonts w:ascii="Times New Roman" w:eastAsia="仿宋_GB2312" w:hAnsi="Times New Roman" w:hint="eastAsia"/>
          <w:sz w:val="32"/>
          <w:szCs w:val="32"/>
        </w:rPr>
        <w:t>，请认真贯彻执行。</w:t>
      </w:r>
    </w:p>
    <w:p w:rsidR="00BE6A45" w:rsidRDefault="00BE6A45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E6A45" w:rsidRDefault="00BE6A45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E6A45" w:rsidRDefault="003971A7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E6A45" w:rsidRDefault="003971A7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（此件主动公开）</w:t>
      </w:r>
    </w:p>
    <w:p w:rsidR="00BE6A45" w:rsidRDefault="00BE6A45">
      <w:pPr>
        <w:autoSpaceDE w:val="0"/>
        <w:spacing w:line="590" w:lineRule="exact"/>
        <w:jc w:val="center"/>
        <w:rPr>
          <w:rFonts w:ascii="方正小标宋简体" w:eastAsia="方正小标宋简体" w:hAnsi="宋体" w:cs="宋体"/>
          <w:color w:val="262626"/>
          <w:kern w:val="0"/>
          <w:sz w:val="44"/>
          <w:szCs w:val="44"/>
        </w:rPr>
      </w:pPr>
    </w:p>
    <w:p w:rsidR="00BE6A45" w:rsidRDefault="003971A7">
      <w:pPr>
        <w:autoSpaceDE w:val="0"/>
        <w:spacing w:line="59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袁州区企业“</w:t>
      </w:r>
      <w:r>
        <w:rPr>
          <w:rFonts w:ascii="方正小标宋简体" w:eastAsia="方正小标宋简体" w:hAnsi="Times New Roman" w:hint="eastAsia"/>
          <w:sz w:val="44"/>
          <w:szCs w:val="44"/>
        </w:rPr>
        <w:t>投资者绿卡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”管理办法</w:t>
      </w:r>
    </w:p>
    <w:p w:rsidR="00BE6A45" w:rsidRDefault="00BE6A45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E6A45" w:rsidRDefault="003971A7">
      <w:pPr>
        <w:overflowPunct w:val="0"/>
        <w:adjustRightInd w:val="0"/>
        <w:snapToGrid w:val="0"/>
        <w:spacing w:line="590" w:lineRule="exact"/>
        <w:jc w:val="center"/>
        <w:rPr>
          <w:rFonts w:ascii="黑体" w:eastAsia="黑体" w:hAnsi="华文仿宋" w:cs="华文仿宋"/>
          <w:bCs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第一章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/>
          <w:sz w:val="32"/>
          <w:szCs w:val="32"/>
        </w:rPr>
        <w:t>总则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第一条</w:t>
      </w:r>
      <w:r>
        <w:rPr>
          <w:rFonts w:ascii="仿宋_GB2312" w:eastAsia="仿宋_GB2312" w:hAnsi="华文仿宋" w:cs="华文仿宋" w:hint="eastAsia"/>
          <w:sz w:val="32"/>
          <w:szCs w:val="32"/>
        </w:rPr>
        <w:t>为进一步优化经济发展环境，激发投资者创业热情，切实维护企业和投资者的合法权益，营造“亲商、安商、暖商、富商”氛围，推进我区经济快速发展，</w:t>
      </w:r>
      <w:r>
        <w:rPr>
          <w:rFonts w:ascii="Times New Roman" w:eastAsia="仿宋_GB2312" w:hAnsi="Times New Roman" w:hint="eastAsia"/>
          <w:sz w:val="32"/>
          <w:szCs w:val="32"/>
        </w:rPr>
        <w:t>根据《优化营商环境条例》《江西省优化营商环境条例》和省、市、区优化营商环境有关要求，</w:t>
      </w:r>
      <w:r>
        <w:rPr>
          <w:rFonts w:ascii="仿宋_GB2312" w:eastAsia="仿宋_GB2312" w:hAnsi="华文仿宋" w:cs="华文仿宋" w:hint="eastAsia"/>
          <w:sz w:val="32"/>
          <w:szCs w:val="32"/>
        </w:rPr>
        <w:t>特制定本办法。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第二条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“投资者绿卡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是</w:t>
      </w:r>
      <w:r>
        <w:rPr>
          <w:rFonts w:ascii="Times New Roman" w:eastAsia="仿宋_GB2312" w:hAnsi="Times New Roman" w:hint="eastAsia"/>
          <w:sz w:val="32"/>
          <w:szCs w:val="32"/>
        </w:rPr>
        <w:t>指区政府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为进一步提升对在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投资者、企业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高级</w:t>
      </w:r>
      <w:r>
        <w:rPr>
          <w:rFonts w:ascii="Times New Roman" w:eastAsia="仿宋_GB2312" w:hAnsi="Times New Roman" w:hint="eastAsia"/>
          <w:sz w:val="32"/>
          <w:szCs w:val="32"/>
        </w:rPr>
        <w:t>管理人员服务水平，吸引客商来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投资、就业而颁发的证明。</w:t>
      </w:r>
      <w:hyperlink r:id="rId7" w:tgtFrame="/home/user/文档x/_blank" w:history="1">
        <w:r>
          <w:rPr>
            <w:rFonts w:ascii="Times New Roman" w:eastAsia="仿宋_GB2312" w:hAnsi="Times New Roman" w:hint="eastAsia"/>
            <w:sz w:val="32"/>
            <w:szCs w:val="32"/>
          </w:rPr>
          <w:t>高级管理人员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是指公司管理层中担任重要职务、负责公司经营管理、掌握公司重要信息的人员，主要包括经理、副经理、财务负责人，上市公司董事会秘书和公司章程规定的其他人员。</w:t>
      </w:r>
    </w:p>
    <w:p w:rsidR="00BE6A45" w:rsidRDefault="003971A7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第三条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本办法所称企业和投资者不包含国有企业和国有投资代表人。</w:t>
      </w:r>
    </w:p>
    <w:p w:rsidR="00BE6A45" w:rsidRDefault="003971A7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第二章</w:t>
      </w:r>
      <w:r>
        <w:rPr>
          <w:rFonts w:ascii="Times New Roman" w:eastAsia="黑体" w:hAnsi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“投资者绿卡”优惠待遇</w:t>
      </w:r>
    </w:p>
    <w:p w:rsidR="00BE6A45" w:rsidRDefault="003971A7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“投资者绿卡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可享受如下优惠待遇：</w:t>
      </w:r>
    </w:p>
    <w:p w:rsidR="00BE6A45" w:rsidRDefault="003971A7" w:rsidP="00BE6A45">
      <w:pPr>
        <w:overflowPunct w:val="0"/>
        <w:adjustRightInd w:val="0"/>
        <w:snapToGrid w:val="0"/>
        <w:spacing w:line="59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（一）健康服务待遇：</w:t>
      </w:r>
      <w:r>
        <w:rPr>
          <w:rFonts w:ascii="Times New Roman" w:eastAsia="仿宋_GB2312" w:hAnsi="Times New Roman"/>
          <w:sz w:val="32"/>
          <w:szCs w:val="32"/>
        </w:rPr>
        <w:t>持</w:t>
      </w:r>
      <w:r>
        <w:rPr>
          <w:rFonts w:ascii="Times New Roman" w:eastAsia="仿宋_GB2312" w:hAnsi="Times New Roman" w:hint="eastAsia"/>
          <w:sz w:val="32"/>
          <w:szCs w:val="32"/>
        </w:rPr>
        <w:t>袁州区</w:t>
      </w:r>
      <w:r>
        <w:rPr>
          <w:rFonts w:ascii="Times New Roman" w:eastAsia="仿宋_GB2312" w:hAnsi="Times New Roman"/>
          <w:sz w:val="32"/>
          <w:szCs w:val="32"/>
        </w:rPr>
        <w:t>人民政府颁发的投资者绿卡人（以下简称持卡人）</w:t>
      </w:r>
      <w:r>
        <w:rPr>
          <w:rFonts w:ascii="仿宋_GB2312" w:eastAsia="仿宋_GB2312" w:hAnsi="华文仿宋" w:cs="华文仿宋" w:hint="eastAsia"/>
          <w:sz w:val="32"/>
          <w:szCs w:val="32"/>
        </w:rPr>
        <w:t>每年可在宜春市第二人民医院免费常规体检一次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仿宋_GB2312" w:eastAsia="仿宋_GB2312" w:hAnsi="华文仿宋" w:cs="华文仿宋" w:hint="eastAsia"/>
          <w:sz w:val="32"/>
          <w:szCs w:val="32"/>
        </w:rPr>
        <w:t>在指定的医疗机构就诊免交普通挂号费，并</w:t>
      </w:r>
      <w:r>
        <w:rPr>
          <w:rFonts w:ascii="Times New Roman" w:eastAsia="仿宋_GB2312" w:hAnsi="Times New Roman"/>
          <w:sz w:val="32"/>
          <w:szCs w:val="32"/>
        </w:rPr>
        <w:t>开通就医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绿</w:t>
      </w:r>
      <w:r>
        <w:rPr>
          <w:rFonts w:ascii="Times New Roman" w:eastAsia="仿宋_GB2312" w:hAnsi="Times New Roman"/>
          <w:sz w:val="32"/>
          <w:szCs w:val="32"/>
        </w:rPr>
        <w:lastRenderedPageBreak/>
        <w:t>色通道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E6A45" w:rsidRDefault="003971A7" w:rsidP="00BE6A45">
      <w:pPr>
        <w:overflowPunct w:val="0"/>
        <w:adjustRightInd w:val="0"/>
        <w:snapToGrid w:val="0"/>
        <w:spacing w:line="59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（二）子女教育待遇：</w:t>
      </w:r>
      <w:r>
        <w:rPr>
          <w:rFonts w:ascii="Times New Roman" w:eastAsia="仿宋_GB2312" w:hAnsi="Times New Roman"/>
          <w:sz w:val="32"/>
          <w:szCs w:val="32"/>
        </w:rPr>
        <w:t>持卡人子女就读学前教育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义务教育阶段学校，可在</w:t>
      </w:r>
      <w:r>
        <w:rPr>
          <w:rFonts w:ascii="Times New Roman" w:eastAsia="仿宋_GB2312" w:hAnsi="Times New Roman" w:hint="eastAsia"/>
          <w:sz w:val="32"/>
          <w:szCs w:val="32"/>
        </w:rPr>
        <w:t>袁州区</w:t>
      </w:r>
      <w:r>
        <w:rPr>
          <w:rFonts w:ascii="Times New Roman" w:eastAsia="仿宋_GB2312" w:hAnsi="Times New Roman"/>
          <w:sz w:val="32"/>
          <w:szCs w:val="32"/>
        </w:rPr>
        <w:t>公办幼儿园</w:t>
      </w:r>
      <w:r>
        <w:rPr>
          <w:rFonts w:ascii="Times New Roman" w:eastAsia="仿宋_GB2312" w:hAnsi="Times New Roman" w:hint="eastAsia"/>
          <w:sz w:val="32"/>
          <w:szCs w:val="32"/>
        </w:rPr>
        <w:t>和学校</w:t>
      </w:r>
      <w:r>
        <w:rPr>
          <w:rFonts w:ascii="Times New Roman" w:eastAsia="仿宋_GB2312" w:hAnsi="Times New Roman"/>
          <w:sz w:val="32"/>
          <w:szCs w:val="32"/>
        </w:rPr>
        <w:t>进行</w:t>
      </w:r>
      <w:r>
        <w:rPr>
          <w:rFonts w:ascii="Times New Roman" w:eastAsia="仿宋_GB2312" w:hAnsi="Times New Roman" w:hint="eastAsia"/>
          <w:sz w:val="32"/>
          <w:szCs w:val="32"/>
        </w:rPr>
        <w:t>自主</w:t>
      </w:r>
      <w:r>
        <w:rPr>
          <w:rFonts w:ascii="Times New Roman" w:eastAsia="仿宋_GB2312" w:hAnsi="Times New Roman"/>
          <w:sz w:val="32"/>
          <w:szCs w:val="32"/>
        </w:rPr>
        <w:t>择校</w:t>
      </w:r>
      <w:r>
        <w:rPr>
          <w:rFonts w:ascii="Times New Roman" w:eastAsia="仿宋_GB2312" w:hAnsi="Times New Roman" w:hint="eastAsia"/>
          <w:sz w:val="32"/>
          <w:szCs w:val="32"/>
        </w:rPr>
        <w:t>（中途转学需接受教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体部门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调剂安排）。</w:t>
      </w:r>
      <w:r>
        <w:rPr>
          <w:rFonts w:ascii="Times New Roman" w:eastAsia="仿宋_GB2312" w:hAnsi="Times New Roman"/>
          <w:sz w:val="32"/>
          <w:szCs w:val="32"/>
        </w:rPr>
        <w:t>就读普通高中教育阶段学校，可在全</w:t>
      </w:r>
      <w:r>
        <w:rPr>
          <w:rFonts w:ascii="Times New Roman" w:eastAsia="仿宋_GB2312" w:hAnsi="Times New Roman" w:hint="eastAsia"/>
          <w:sz w:val="32"/>
          <w:szCs w:val="32"/>
        </w:rPr>
        <w:t>区</w:t>
      </w:r>
      <w:r>
        <w:rPr>
          <w:rFonts w:ascii="Times New Roman" w:eastAsia="仿宋_GB2312" w:hAnsi="Times New Roman"/>
          <w:sz w:val="32"/>
          <w:szCs w:val="32"/>
        </w:rPr>
        <w:t>范围内享受均衡生资格。</w:t>
      </w:r>
    </w:p>
    <w:p w:rsidR="00BE6A45" w:rsidRDefault="003971A7" w:rsidP="00BE6A45">
      <w:pPr>
        <w:spacing w:line="590" w:lineRule="exact"/>
        <w:ind w:firstLineChars="200" w:firstLine="667"/>
        <w:rPr>
          <w:rFonts w:ascii="Times New Roman" w:eastAsia="仿宋_GB2312" w:hAnsi="Times New Roman"/>
          <w:bCs/>
          <w:spacing w:val="6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pacing w:val="6"/>
          <w:sz w:val="32"/>
          <w:szCs w:val="32"/>
        </w:rPr>
        <w:t>（三）景点旅游待遇：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持卡人每年可免费领取文旅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卡通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张。</w:t>
      </w:r>
    </w:p>
    <w:p w:rsidR="00BE6A45" w:rsidRDefault="003971A7" w:rsidP="00BE6A45">
      <w:pPr>
        <w:spacing w:line="59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上述优惠待遇的具体实施细则由主管部门分别制定。</w:t>
      </w:r>
    </w:p>
    <w:p w:rsidR="00BE6A45" w:rsidRDefault="003971A7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第三章</w:t>
      </w:r>
      <w:r>
        <w:rPr>
          <w:rFonts w:ascii="Times New Roman" w:eastAsia="黑体" w:hAnsi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“投资者绿卡”申办条件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第五条</w:t>
      </w:r>
      <w:r>
        <w:rPr>
          <w:rFonts w:ascii="楷体_GB2312" w:eastAsia="楷体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“投资者绿卡”申办标准：</w:t>
      </w:r>
    </w:p>
    <w:p w:rsidR="00BE6A45" w:rsidRDefault="003971A7" w:rsidP="00BE6A45">
      <w:pPr>
        <w:spacing w:line="59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符合以下条件之一的企业可申办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张投资者绿卡。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工业制造业年纳税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万元以上（上年度，下同）的企业；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．批发业年纳税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．零售业年纳税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．住宿业年纳税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．餐饮业年纳税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．信息传输、软件和信息技术、互联网相关服务业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年纳税</w:t>
      </w:r>
      <w:r>
        <w:rPr>
          <w:rFonts w:ascii="仿宋_GB2312" w:hAnsi="仿宋_GB2312" w:cs="仿宋_GB2312" w:hint="eastAsia"/>
          <w:bCs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7.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管道运输业、多式联运和运输代理业、装卸搬运和仓储业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年纳税</w:t>
      </w:r>
      <w:r>
        <w:rPr>
          <w:rFonts w:ascii="仿宋_GB2312" w:hAnsi="仿宋_GB2312" w:cs="仿宋_GB2312" w:hint="eastAsia"/>
          <w:bCs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8.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租赁和商务服务业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年纳税</w:t>
      </w:r>
      <w:r>
        <w:rPr>
          <w:rFonts w:ascii="仿宋_GB2312" w:hAnsi="仿宋_GB2312" w:cs="仿宋_GB2312" w:hint="eastAsia"/>
          <w:bCs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．科学研究和技术服务业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年纳税</w:t>
      </w:r>
      <w:r>
        <w:rPr>
          <w:rFonts w:ascii="仿宋_GB2312" w:hAnsi="仿宋_GB2312" w:cs="仿宋_GB2312" w:hint="eastAsia"/>
          <w:bCs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水利、环境和公共设施管理业年纳税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bCs/>
          <w:spacing w:val="6"/>
          <w:kern w:val="0"/>
          <w:sz w:val="32"/>
          <w:szCs w:val="32"/>
        </w:rPr>
        <w:t>居民服务、修理和其他服务业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年纳税</w:t>
      </w:r>
      <w:r>
        <w:rPr>
          <w:rFonts w:ascii="仿宋_GB2312" w:hAnsi="仿宋_GB2312" w:cs="仿宋_GB2312" w:hint="eastAsia"/>
          <w:bCs/>
          <w:spacing w:val="6"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Cs/>
          <w:spacing w:val="6"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．文化体育和娱乐业年纳税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13.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省级及以上农业龙头企业且年纳税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14.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省级及以上林业龙头企业且年纳税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万元以上的企业；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．省级及以上瞪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企业。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第</w:t>
      </w:r>
      <w:r>
        <w:rPr>
          <w:rFonts w:ascii="Times New Roman" w:eastAsia="楷体_GB2312" w:hAnsi="Times New Roman" w:hint="eastAsia"/>
          <w:sz w:val="32"/>
          <w:szCs w:val="32"/>
        </w:rPr>
        <w:t>六</w:t>
      </w:r>
      <w:r>
        <w:rPr>
          <w:rFonts w:ascii="Times New Roman" w:eastAsia="楷体_GB2312" w:hAnsi="Times New Roman"/>
          <w:sz w:val="32"/>
          <w:szCs w:val="32"/>
        </w:rPr>
        <w:t>条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投资者绿卡三年内不予调换</w:t>
      </w:r>
      <w:r>
        <w:rPr>
          <w:rFonts w:ascii="Times New Roman" w:eastAsia="仿宋_GB2312" w:hAnsi="Times New Roman" w:hint="eastAsia"/>
          <w:sz w:val="32"/>
          <w:szCs w:val="32"/>
        </w:rPr>
        <w:t>，且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如享受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了择校待遇的投资者绿卡，在当前教育阶段不予调换。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达到市级投资者绿卡办理条件的，鼓励相关企业到市营商办办理市级投资者绿卡。如企业已办理了市级投资者绿卡，不重复申办区级投资者绿卡，避免政策重复使用。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如申办人已办理袁州区英才服务卡，不重复申办区级投资者绿卡。</w:t>
      </w:r>
    </w:p>
    <w:p w:rsidR="00BE6A45" w:rsidRDefault="003971A7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第四章</w:t>
      </w:r>
      <w:r>
        <w:rPr>
          <w:rFonts w:ascii="Times New Roman" w:eastAsia="黑体" w:hAnsi="Times New Roman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“投资者绿卡”</w:t>
      </w:r>
      <w:r>
        <w:rPr>
          <w:rFonts w:ascii="黑体" w:eastAsia="黑体" w:hAnsi="黑体" w:cs="黑体" w:hint="eastAsia"/>
          <w:sz w:val="32"/>
          <w:szCs w:val="32"/>
        </w:rPr>
        <w:t>申办程序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第九条</w:t>
      </w:r>
      <w:r>
        <w:rPr>
          <w:rFonts w:ascii="Times New Roman" w:eastAsia="仿宋_GB2312" w:hAnsi="Times New Roman"/>
          <w:sz w:val="32"/>
          <w:szCs w:val="32"/>
        </w:rPr>
        <w:t>申办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投资者绿卡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，可通过</w:t>
      </w:r>
      <w:r>
        <w:rPr>
          <w:rFonts w:ascii="Times New Roman" w:eastAsia="仿宋_GB2312" w:hAnsi="Times New Roman" w:hint="eastAsia"/>
          <w:sz w:val="32"/>
          <w:szCs w:val="32"/>
        </w:rPr>
        <w:t>袁州区</w:t>
      </w:r>
      <w:r>
        <w:rPr>
          <w:rFonts w:ascii="Times New Roman" w:eastAsia="仿宋_GB2312" w:hAnsi="Times New Roman"/>
          <w:sz w:val="32"/>
          <w:szCs w:val="32"/>
        </w:rPr>
        <w:t>政府网</w:t>
      </w:r>
      <w:r>
        <w:rPr>
          <w:rFonts w:ascii="Times New Roman" w:eastAsia="仿宋_GB2312" w:hAnsi="Times New Roman" w:hint="eastAsia"/>
          <w:sz w:val="32"/>
          <w:szCs w:val="32"/>
        </w:rPr>
        <w:t>、政务服务网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赣服通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袁州</w:t>
      </w:r>
      <w:r>
        <w:rPr>
          <w:rFonts w:ascii="Times New Roman" w:eastAsia="仿宋_GB2312" w:hAnsi="Times New Roman"/>
          <w:sz w:val="32"/>
          <w:szCs w:val="32"/>
        </w:rPr>
        <w:t>分厅下载《</w:t>
      </w:r>
      <w:r>
        <w:rPr>
          <w:rFonts w:ascii="Times New Roman" w:eastAsia="仿宋_GB2312" w:hAnsi="Times New Roman" w:hint="eastAsia"/>
          <w:sz w:val="32"/>
          <w:szCs w:val="32"/>
        </w:rPr>
        <w:t>袁州区</w:t>
      </w:r>
      <w:r>
        <w:rPr>
          <w:rFonts w:ascii="Times New Roman" w:eastAsia="仿宋_GB2312" w:hAnsi="Times New Roman"/>
          <w:sz w:val="32"/>
          <w:szCs w:val="32"/>
        </w:rPr>
        <w:t>企业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投资者绿卡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申报表》，也可到</w:t>
      </w:r>
      <w:r>
        <w:rPr>
          <w:rFonts w:ascii="Times New Roman" w:eastAsia="仿宋_GB2312" w:hAnsi="Times New Roman" w:hint="eastAsia"/>
          <w:sz w:val="32"/>
          <w:szCs w:val="32"/>
        </w:rPr>
        <w:t>袁州区</w:t>
      </w:r>
      <w:r>
        <w:rPr>
          <w:rFonts w:ascii="Times New Roman" w:eastAsia="仿宋_GB2312" w:hAnsi="Times New Roman"/>
          <w:sz w:val="32"/>
          <w:szCs w:val="32"/>
        </w:rPr>
        <w:t>营商环境建设办公室（以下简称</w:t>
      </w:r>
      <w:r>
        <w:rPr>
          <w:rFonts w:ascii="Times New Roman" w:eastAsia="仿宋_GB2312" w:hAnsi="Times New Roman" w:hint="eastAsia"/>
          <w:sz w:val="32"/>
          <w:szCs w:val="32"/>
        </w:rPr>
        <w:t>区</w:t>
      </w:r>
      <w:r>
        <w:rPr>
          <w:rFonts w:ascii="Times New Roman" w:eastAsia="仿宋_GB2312" w:hAnsi="Times New Roman"/>
          <w:sz w:val="32"/>
          <w:szCs w:val="32"/>
        </w:rPr>
        <w:t>营商办）领取。申办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投资者绿卡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须</w:t>
      </w:r>
      <w:r>
        <w:rPr>
          <w:rFonts w:ascii="Times New Roman" w:eastAsia="仿宋_GB2312" w:hAnsi="Times New Roman"/>
          <w:sz w:val="32"/>
          <w:szCs w:val="32"/>
        </w:rPr>
        <w:t>提供以下申请材料：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（一）《</w:t>
      </w:r>
      <w:r>
        <w:rPr>
          <w:rFonts w:ascii="Times New Roman" w:eastAsia="仿宋_GB2312" w:hAnsi="Times New Roman" w:hint="eastAsia"/>
          <w:sz w:val="32"/>
          <w:szCs w:val="32"/>
        </w:rPr>
        <w:t>袁州区</w:t>
      </w:r>
      <w:r>
        <w:rPr>
          <w:rFonts w:ascii="Times New Roman" w:eastAsia="仿宋_GB2312" w:hAnsi="Times New Roman"/>
          <w:sz w:val="32"/>
          <w:szCs w:val="32"/>
        </w:rPr>
        <w:t>企业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投资者绿卡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申报表》；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（二）企业营业执照复印件；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sz w:val="32"/>
          <w:szCs w:val="32"/>
        </w:rPr>
        <w:t>符合相关申报条件的</w:t>
      </w:r>
      <w:r>
        <w:rPr>
          <w:rFonts w:ascii="Times New Roman" w:eastAsia="仿宋_GB2312" w:hAnsi="Times New Roman"/>
          <w:sz w:val="32"/>
          <w:szCs w:val="32"/>
        </w:rPr>
        <w:t>证明</w:t>
      </w:r>
      <w:r>
        <w:rPr>
          <w:rFonts w:ascii="Times New Roman" w:eastAsia="仿宋_GB2312" w:hAnsi="Times New Roman" w:hint="eastAsia"/>
          <w:sz w:val="32"/>
          <w:szCs w:val="32"/>
        </w:rPr>
        <w:t>材料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（四）申办人身份证明材料，含身份证复印件，投资者身份证明或企业高级管理人员人事关系证明和</w:t>
      </w:r>
      <w:proofErr w:type="gramStart"/>
      <w:r>
        <w:rPr>
          <w:rFonts w:ascii="Times New Roman" w:eastAsia="仿宋_GB2312" w:hAnsi="Times New Roman"/>
          <w:sz w:val="32"/>
          <w:szCs w:val="32"/>
        </w:rPr>
        <w:t>社保证明</w:t>
      </w:r>
      <w:proofErr w:type="gramEnd"/>
      <w:r>
        <w:rPr>
          <w:rFonts w:ascii="Times New Roman" w:eastAsia="仿宋_GB2312" w:hAnsi="Times New Roman"/>
          <w:sz w:val="32"/>
          <w:szCs w:val="32"/>
        </w:rPr>
        <w:t>复印件，复印件需加盖单位公章；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（五）申办人彩色一寸照片一张。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特殊情况可容缺申报。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第十条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华文仿宋" w:cs="华文仿宋" w:hint="eastAsia"/>
          <w:sz w:val="32"/>
          <w:szCs w:val="32"/>
        </w:rPr>
        <w:t>行业主管部门负责对企业申报条件和申办人身份等提出初审意见，并统一报区营商办。区营商办对行业主管部门上报的企业申报材料进行复核后，报区政府审定，区政府对符合条件的发放“投资者绿卡”。</w:t>
      </w:r>
    </w:p>
    <w:p w:rsidR="00BE6A45" w:rsidRDefault="003971A7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第五章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“</w:t>
      </w:r>
      <w:r>
        <w:rPr>
          <w:rFonts w:ascii="Times New Roman" w:eastAsia="黑体" w:hAnsi="Times New Roman"/>
          <w:sz w:val="32"/>
          <w:szCs w:val="32"/>
        </w:rPr>
        <w:t>投资者绿卡</w:t>
      </w:r>
      <w:r>
        <w:rPr>
          <w:rFonts w:ascii="Times New Roman" w:eastAsia="黑体" w:hAnsi="Times New Roman" w:hint="eastAsia"/>
          <w:sz w:val="32"/>
          <w:szCs w:val="32"/>
        </w:rPr>
        <w:t>”</w:t>
      </w:r>
      <w:r>
        <w:rPr>
          <w:rFonts w:ascii="Times New Roman" w:eastAsia="黑体" w:hAnsi="Times New Roman"/>
          <w:sz w:val="32"/>
          <w:szCs w:val="32"/>
        </w:rPr>
        <w:t>管理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第十一条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区营商办负责“投资者绿卡”的动态管理。每年审核备案一次，对逾期或经审核备案不再符合条件的予以收回、注销。每年将新发放和收回注销“投资者绿卡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名单予以公告。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pacing w:val="-2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第十二条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“投资者绿卡”企业名单可在袁州区政府网、政务服务网和“赣服通”袁州分厅查询。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投资者绿卡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pacing w:val="-2"/>
          <w:sz w:val="32"/>
          <w:szCs w:val="32"/>
        </w:rPr>
        <w:t>仅限持卡人本人使用，转借他人无效。“</w:t>
      </w:r>
      <w:r>
        <w:rPr>
          <w:rFonts w:ascii="Times New Roman" w:eastAsia="仿宋_GB2312" w:hAnsi="Times New Roman" w:hint="eastAsia"/>
          <w:sz w:val="32"/>
          <w:szCs w:val="32"/>
        </w:rPr>
        <w:t>投资者绿卡</w:t>
      </w:r>
      <w:r>
        <w:rPr>
          <w:rFonts w:ascii="Times New Roman" w:eastAsia="仿宋_GB2312" w:hAnsi="Times New Roman" w:hint="eastAsia"/>
          <w:spacing w:val="-2"/>
          <w:sz w:val="32"/>
          <w:szCs w:val="32"/>
        </w:rPr>
        <w:t>”遗失，由企业开具补办申请，到区营商办申请补办。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第十三条</w:t>
      </w:r>
      <w:r>
        <w:rPr>
          <w:rFonts w:ascii="Times New Roman" w:eastAsia="仿宋_GB2312" w:hAnsi="Times New Roman"/>
          <w:sz w:val="32"/>
          <w:szCs w:val="32"/>
        </w:rPr>
        <w:t>有下列情形之一的，取消持卡人资格，由</w:t>
      </w:r>
      <w:r>
        <w:rPr>
          <w:rFonts w:ascii="Times New Roman" w:eastAsia="仿宋_GB2312" w:hAnsi="Times New Roman" w:hint="eastAsia"/>
          <w:sz w:val="32"/>
          <w:szCs w:val="32"/>
        </w:rPr>
        <w:t>区</w:t>
      </w:r>
      <w:r>
        <w:rPr>
          <w:rFonts w:ascii="Times New Roman" w:eastAsia="仿宋_GB2312" w:hAnsi="Times New Roman"/>
          <w:sz w:val="32"/>
          <w:szCs w:val="32"/>
        </w:rPr>
        <w:t>营商办收回及注销，并予以公告：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（一）持卡人所属企业存在严重违法行为，且持卡人负主要责任的；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（二）持卡人已经离职或离开</w:t>
      </w:r>
      <w:r>
        <w:rPr>
          <w:rFonts w:ascii="Times New Roman" w:eastAsia="仿宋_GB2312" w:hAnsi="Times New Roman" w:hint="eastAsia"/>
          <w:sz w:val="32"/>
          <w:szCs w:val="32"/>
        </w:rPr>
        <w:t>袁州区</w:t>
      </w:r>
      <w:r>
        <w:rPr>
          <w:rFonts w:ascii="Times New Roman" w:eastAsia="仿宋_GB2312" w:hAnsi="Times New Roman"/>
          <w:sz w:val="32"/>
          <w:szCs w:val="32"/>
        </w:rPr>
        <w:t>工作的；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（三）持卡人有违法行为且被追究刑事责任的；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（四）其他严重违法情形。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第十四条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区营商办负责“投资者绿卡”落实情况的监督。对违反规定的单位和个人予以通报，情节严重的，提请有关部门严肃查处。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第十五条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对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如实申报、提供虚假材料的企业，收回注销该企业之前发放的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投资者绿卡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，且三年之内不予重新申办。</w:t>
      </w:r>
    </w:p>
    <w:p w:rsidR="00BE6A45" w:rsidRDefault="003971A7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第六章</w:t>
      </w:r>
      <w:r>
        <w:rPr>
          <w:rFonts w:ascii="Times New Roman" w:eastAsia="黑体" w:hAnsi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附则</w:t>
      </w:r>
    </w:p>
    <w:p w:rsidR="00BE6A45" w:rsidRDefault="003971A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第十六条</w:t>
      </w:r>
      <w:r>
        <w:rPr>
          <w:rFonts w:ascii="Times New Roman" w:eastAsia="楷体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本办法自印发之日起施行，原《袁州区企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业“一牌两卡”实施管理办法》（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袁府办发〔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122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同时废止。</w:t>
      </w:r>
    </w:p>
    <w:p w:rsidR="00BE6A45" w:rsidRDefault="003971A7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第十七条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本办法由区营商办负</w:t>
      </w:r>
      <w:r>
        <w:rPr>
          <w:rFonts w:ascii="Times New Roman" w:eastAsia="仿宋_GB2312" w:hAnsi="Times New Roman" w:hint="eastAsia"/>
          <w:sz w:val="32"/>
          <w:szCs w:val="32"/>
        </w:rPr>
        <w:t>责解释。</w:t>
      </w:r>
    </w:p>
    <w:p w:rsidR="00BE6A45" w:rsidRDefault="00BE6A45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</w:p>
    <w:p w:rsidR="00BE6A45" w:rsidRDefault="00BE6A45">
      <w:pPr>
        <w:spacing w:line="240" w:lineRule="exact"/>
        <w:rPr>
          <w:color w:val="000000"/>
        </w:rPr>
      </w:pPr>
      <w:r w:rsidRPr="00BE6A45">
        <w:rPr>
          <w:rFonts w:ascii="仿宋_GB2312" w:eastAsia="仿宋_GB2312"/>
        </w:rPr>
        <w:pict>
          <v:line id="直线 4" o:spid="_x0000_s1029" style="position:absolute;left:0;text-align:left;z-index:251660288;mso-width-relative:page;mso-height-relative:page" from="1.35pt,10.6pt" to="438.55pt,10.65pt" o:gfxdata="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Q3ecL9cAAAAJAQAADwAAAAAA&#10;AAABACAAAAA4AAAAZHJzL2Rvd25yZXYueG1sUEsBAhQAFAAAAAgAh07iQHhfbq7+AQAA6gMAAA4A&#10;AAAAAAAAAQAgAAAAPAEAAGRycy9lMm9Eb2MueG1sUEsFBgAAAAAGAAYAWQEAAKwFAAAAAA==&#10;"/>
        </w:pict>
      </w:r>
    </w:p>
    <w:p w:rsidR="00BE6A45" w:rsidRDefault="003971A7">
      <w:pPr>
        <w:tabs>
          <w:tab w:val="left" w:pos="8216"/>
        </w:tabs>
        <w:spacing w:line="400" w:lineRule="exact"/>
        <w:ind w:rightChars="-150" w:right="-315" w:firstLineChars="100" w:firstLine="268"/>
        <w:rPr>
          <w:rFonts w:ascii="仿宋_GB2312" w:eastAsia="仿宋_GB2312" w:hAnsi="Times New Roman"/>
          <w:spacing w:val="-6"/>
          <w:sz w:val="28"/>
          <w:szCs w:val="28"/>
        </w:rPr>
      </w:pPr>
      <w:r>
        <w:rPr>
          <w:rFonts w:ascii="仿宋_GB2312" w:eastAsia="仿宋_GB2312" w:hAnsi="Times New Roman" w:hint="eastAsia"/>
          <w:spacing w:val="-6"/>
          <w:sz w:val="28"/>
          <w:szCs w:val="28"/>
        </w:rPr>
        <w:t>抄送：区委各部门，区纪委区监委机关，区人大常委会办公室，区政协</w:t>
      </w:r>
    </w:p>
    <w:p w:rsidR="00BE6A45" w:rsidRDefault="003971A7">
      <w:pPr>
        <w:spacing w:line="400" w:lineRule="exact"/>
        <w:ind w:firstLineChars="350" w:firstLine="938"/>
        <w:rPr>
          <w:rFonts w:ascii="仿宋_GB2312" w:eastAsia="仿宋_GB2312"/>
          <w:color w:val="000000"/>
        </w:rPr>
      </w:pPr>
      <w:r>
        <w:rPr>
          <w:rFonts w:ascii="仿宋_GB2312" w:eastAsia="仿宋_GB2312" w:hAnsi="Times New Roman" w:hint="eastAsia"/>
          <w:spacing w:val="-6"/>
          <w:sz w:val="28"/>
          <w:szCs w:val="28"/>
        </w:rPr>
        <w:t>办公室，区法院，区检察院，群众团体。</w:t>
      </w:r>
    </w:p>
    <w:p w:rsidR="00BE6A45" w:rsidRDefault="00BE6A45">
      <w:pPr>
        <w:tabs>
          <w:tab w:val="left" w:pos="8216"/>
        </w:tabs>
        <w:spacing w:line="560" w:lineRule="exact"/>
        <w:ind w:rightChars="-150" w:right="-315" w:firstLineChars="50" w:firstLine="105"/>
      </w:pPr>
      <w:r>
        <w:pict>
          <v:line id="直线 20" o:spid="_x0000_s1027" style="position:absolute;left:0;text-align:left;flip:y;z-index:251658240;mso-width-relative:page;mso-height-relative:page" from="0,3.75pt" to="441.25pt,3.85pt" strokeweight=".35pt"/>
        </w:pict>
      </w:r>
      <w:r>
        <w:pict>
          <v:line id="直线 21" o:spid="_x0000_s1028" style="position:absolute;left:0;text-align:left;flip:y;z-index:251657216;mso-width-relative:page;mso-height-relative:page" from="0,30.35pt" to="441.25pt,30.45pt" strokeweight=".35pt"/>
        </w:pict>
      </w:r>
      <w:r w:rsidR="003971A7">
        <w:rPr>
          <w:rFonts w:ascii="仿宋_GB2312" w:eastAsia="仿宋_GB2312" w:hint="eastAsia"/>
          <w:color w:val="000000"/>
          <w:sz w:val="28"/>
          <w:szCs w:val="28"/>
        </w:rPr>
        <w:t>宜春市袁州区人民政府办公室</w:t>
      </w:r>
      <w:r w:rsidR="003971A7">
        <w:rPr>
          <w:rFonts w:ascii="Times New Roman" w:eastAsia="仿宋_GB2312" w:hAnsi="Times New Roman"/>
          <w:color w:val="000000"/>
          <w:sz w:val="28"/>
          <w:szCs w:val="28"/>
        </w:rPr>
        <w:t xml:space="preserve">    </w:t>
      </w:r>
      <w:r w:rsidR="00AA7470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        </w:t>
      </w:r>
      <w:r w:rsidR="003971A7">
        <w:rPr>
          <w:rFonts w:ascii="Times New Roman" w:eastAsia="仿宋_GB2312" w:hAnsi="Times New Roman"/>
          <w:color w:val="000000"/>
          <w:sz w:val="28"/>
          <w:szCs w:val="28"/>
        </w:rPr>
        <w:t xml:space="preserve">  202</w:t>
      </w:r>
      <w:r w:rsidR="003971A7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="003971A7">
        <w:rPr>
          <w:rFonts w:ascii="Times New Roman" w:eastAsia="仿宋_GB2312" w:hAnsi="Times New Roman" w:hint="eastAsia"/>
          <w:color w:val="000000"/>
          <w:sz w:val="28"/>
          <w:szCs w:val="28"/>
        </w:rPr>
        <w:t>年</w:t>
      </w:r>
      <w:r w:rsidR="003971A7">
        <w:rPr>
          <w:rFonts w:ascii="Times New Roman" w:eastAsia="仿宋_GB2312" w:hAnsi="Times New Roman" w:hint="eastAsia"/>
          <w:color w:val="000000"/>
          <w:sz w:val="28"/>
          <w:szCs w:val="28"/>
        </w:rPr>
        <w:t>6</w:t>
      </w:r>
      <w:r w:rsidR="003971A7">
        <w:rPr>
          <w:rFonts w:ascii="Times New Roman" w:eastAsia="仿宋_GB2312" w:hAnsi="Times New Roman" w:hint="eastAsia"/>
          <w:color w:val="000000"/>
          <w:sz w:val="28"/>
          <w:szCs w:val="28"/>
        </w:rPr>
        <w:t>月</w:t>
      </w:r>
      <w:r w:rsidR="003971A7">
        <w:rPr>
          <w:rFonts w:ascii="Times New Roman" w:eastAsia="仿宋_GB2312" w:hAnsi="Times New Roman" w:hint="eastAsia"/>
          <w:color w:val="000000"/>
          <w:sz w:val="28"/>
          <w:szCs w:val="28"/>
        </w:rPr>
        <w:t>14</w:t>
      </w:r>
      <w:r w:rsidR="003971A7">
        <w:rPr>
          <w:rFonts w:ascii="Times New Roman" w:eastAsia="仿宋_GB2312" w:hAnsi="Times New Roman" w:hint="eastAsia"/>
          <w:color w:val="000000"/>
          <w:sz w:val="28"/>
          <w:szCs w:val="28"/>
        </w:rPr>
        <w:t>日印发</w:t>
      </w:r>
    </w:p>
    <w:sectPr w:rsidR="00BE6A45" w:rsidSect="003971A7">
      <w:footerReference w:type="default" r:id="rId8"/>
      <w:pgSz w:w="11907" w:h="16840" w:code="9"/>
      <w:pgMar w:top="1928" w:right="1474" w:bottom="1814" w:left="1588" w:header="851" w:footer="1588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45" w:rsidRDefault="00BE6A45" w:rsidP="00BE6A45">
      <w:r>
        <w:separator/>
      </w:r>
    </w:p>
  </w:endnote>
  <w:endnote w:type="continuationSeparator" w:id="1">
    <w:p w:rsidR="00BE6A45" w:rsidRDefault="00BE6A45" w:rsidP="00BE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45" w:rsidRDefault="00BE6A4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<v:textbox style="mso-fit-shape-to-text:t" inset="0,0,0,0">
            <w:txbxContent>
              <w:p w:rsidR="00BE6A45" w:rsidRDefault="003971A7">
                <w:pPr>
                  <w:pStyle w:val="a6"/>
                  <w:rPr>
                    <w:rFonts w:ascii="Times New Roman" w:hAnsi="Times New Roman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Times New Roman" w:hAnsi="Times New Roman" w:hint="eastAsia"/>
                    <w:color w:val="FFFFFF" w:themeColor="background1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  <w:r w:rsidR="00BE6A45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BE6A45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6</w:t>
                </w:r>
                <w:r w:rsidR="00BE6A45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hint="eastAsia"/>
                    <w:color w:val="FFFFFF" w:themeColor="background1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45" w:rsidRDefault="00BE6A45" w:rsidP="00BE6A45">
      <w:r>
        <w:separator/>
      </w:r>
    </w:p>
  </w:footnote>
  <w:footnote w:type="continuationSeparator" w:id="1">
    <w:p w:rsidR="00BE6A45" w:rsidRDefault="00BE6A45" w:rsidP="00BE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FBFAAC1A"/>
    <w:rsid w:val="FF5FEF5F"/>
    <w:rsid w:val="000165C4"/>
    <w:rsid w:val="00026B5B"/>
    <w:rsid w:val="00027DAD"/>
    <w:rsid w:val="000460CC"/>
    <w:rsid w:val="000618BA"/>
    <w:rsid w:val="00091A80"/>
    <w:rsid w:val="000B0E63"/>
    <w:rsid w:val="000F174C"/>
    <w:rsid w:val="000F1B31"/>
    <w:rsid w:val="00110941"/>
    <w:rsid w:val="00172A27"/>
    <w:rsid w:val="001855A8"/>
    <w:rsid w:val="001A4613"/>
    <w:rsid w:val="001A6B2B"/>
    <w:rsid w:val="001A7410"/>
    <w:rsid w:val="001B138B"/>
    <w:rsid w:val="001E4F14"/>
    <w:rsid w:val="00231D85"/>
    <w:rsid w:val="00242513"/>
    <w:rsid w:val="002431F5"/>
    <w:rsid w:val="0025231B"/>
    <w:rsid w:val="002A533F"/>
    <w:rsid w:val="002A6667"/>
    <w:rsid w:val="002B4667"/>
    <w:rsid w:val="002D0677"/>
    <w:rsid w:val="003075B0"/>
    <w:rsid w:val="00321B2A"/>
    <w:rsid w:val="00324519"/>
    <w:rsid w:val="00335C63"/>
    <w:rsid w:val="003474BE"/>
    <w:rsid w:val="00371A27"/>
    <w:rsid w:val="00382D3D"/>
    <w:rsid w:val="003830CB"/>
    <w:rsid w:val="003971A7"/>
    <w:rsid w:val="003C007D"/>
    <w:rsid w:val="003D0757"/>
    <w:rsid w:val="003D0F52"/>
    <w:rsid w:val="003D31D9"/>
    <w:rsid w:val="003E4A91"/>
    <w:rsid w:val="003E4EF5"/>
    <w:rsid w:val="003F7760"/>
    <w:rsid w:val="00441423"/>
    <w:rsid w:val="004431B2"/>
    <w:rsid w:val="00451826"/>
    <w:rsid w:val="004606F9"/>
    <w:rsid w:val="00462F8C"/>
    <w:rsid w:val="00475F89"/>
    <w:rsid w:val="00492219"/>
    <w:rsid w:val="004A5DFC"/>
    <w:rsid w:val="004C60E9"/>
    <w:rsid w:val="005069F5"/>
    <w:rsid w:val="00507B65"/>
    <w:rsid w:val="0051514F"/>
    <w:rsid w:val="005A15B0"/>
    <w:rsid w:val="005C2F49"/>
    <w:rsid w:val="005D439B"/>
    <w:rsid w:val="005E2CE7"/>
    <w:rsid w:val="005E4B62"/>
    <w:rsid w:val="00610651"/>
    <w:rsid w:val="00615E43"/>
    <w:rsid w:val="00621BDC"/>
    <w:rsid w:val="00634C21"/>
    <w:rsid w:val="00642169"/>
    <w:rsid w:val="00652104"/>
    <w:rsid w:val="00653730"/>
    <w:rsid w:val="00694610"/>
    <w:rsid w:val="006A55A2"/>
    <w:rsid w:val="006D0620"/>
    <w:rsid w:val="006E1438"/>
    <w:rsid w:val="006E6361"/>
    <w:rsid w:val="006E74B5"/>
    <w:rsid w:val="00711692"/>
    <w:rsid w:val="00717EE9"/>
    <w:rsid w:val="00721E09"/>
    <w:rsid w:val="00755D9F"/>
    <w:rsid w:val="007B2165"/>
    <w:rsid w:val="007C17E0"/>
    <w:rsid w:val="007D4447"/>
    <w:rsid w:val="007F291F"/>
    <w:rsid w:val="007F43FC"/>
    <w:rsid w:val="007F5F88"/>
    <w:rsid w:val="00800770"/>
    <w:rsid w:val="00850939"/>
    <w:rsid w:val="0085471A"/>
    <w:rsid w:val="008564CF"/>
    <w:rsid w:val="008608F7"/>
    <w:rsid w:val="00886164"/>
    <w:rsid w:val="008C1779"/>
    <w:rsid w:val="008C2BB2"/>
    <w:rsid w:val="008E0145"/>
    <w:rsid w:val="008F1881"/>
    <w:rsid w:val="00901415"/>
    <w:rsid w:val="00916848"/>
    <w:rsid w:val="0092407C"/>
    <w:rsid w:val="00950F59"/>
    <w:rsid w:val="00961799"/>
    <w:rsid w:val="00966821"/>
    <w:rsid w:val="00973695"/>
    <w:rsid w:val="00997C1B"/>
    <w:rsid w:val="009D0F85"/>
    <w:rsid w:val="009F46C1"/>
    <w:rsid w:val="00A017A7"/>
    <w:rsid w:val="00A12B6E"/>
    <w:rsid w:val="00A2740D"/>
    <w:rsid w:val="00A36208"/>
    <w:rsid w:val="00A472B4"/>
    <w:rsid w:val="00A51489"/>
    <w:rsid w:val="00A51D57"/>
    <w:rsid w:val="00AA7470"/>
    <w:rsid w:val="00AC1062"/>
    <w:rsid w:val="00AC3A2C"/>
    <w:rsid w:val="00AD1DE3"/>
    <w:rsid w:val="00AE385F"/>
    <w:rsid w:val="00AE39CC"/>
    <w:rsid w:val="00AF585E"/>
    <w:rsid w:val="00AF643F"/>
    <w:rsid w:val="00B014F9"/>
    <w:rsid w:val="00B31E90"/>
    <w:rsid w:val="00B54782"/>
    <w:rsid w:val="00B61A03"/>
    <w:rsid w:val="00B823CE"/>
    <w:rsid w:val="00B85E40"/>
    <w:rsid w:val="00B93197"/>
    <w:rsid w:val="00BA01D7"/>
    <w:rsid w:val="00BE1E3C"/>
    <w:rsid w:val="00BE507D"/>
    <w:rsid w:val="00BE6A45"/>
    <w:rsid w:val="00BF2BAB"/>
    <w:rsid w:val="00C01E98"/>
    <w:rsid w:val="00C137FD"/>
    <w:rsid w:val="00C3480F"/>
    <w:rsid w:val="00C34B29"/>
    <w:rsid w:val="00C44A82"/>
    <w:rsid w:val="00C51C2F"/>
    <w:rsid w:val="00C6540C"/>
    <w:rsid w:val="00C714E7"/>
    <w:rsid w:val="00C7322E"/>
    <w:rsid w:val="00C81EB5"/>
    <w:rsid w:val="00C84F0F"/>
    <w:rsid w:val="00CA0A32"/>
    <w:rsid w:val="00CF7156"/>
    <w:rsid w:val="00D01D73"/>
    <w:rsid w:val="00D02133"/>
    <w:rsid w:val="00D25C35"/>
    <w:rsid w:val="00D72815"/>
    <w:rsid w:val="00D82805"/>
    <w:rsid w:val="00DF76AB"/>
    <w:rsid w:val="00E15598"/>
    <w:rsid w:val="00E311A7"/>
    <w:rsid w:val="00E669F1"/>
    <w:rsid w:val="00E8126F"/>
    <w:rsid w:val="00EB2C5E"/>
    <w:rsid w:val="00F05C7C"/>
    <w:rsid w:val="00F1296D"/>
    <w:rsid w:val="00F23707"/>
    <w:rsid w:val="00F513B4"/>
    <w:rsid w:val="00F526A5"/>
    <w:rsid w:val="00F978FD"/>
    <w:rsid w:val="00FD3CD1"/>
    <w:rsid w:val="00FE033D"/>
    <w:rsid w:val="00FE4683"/>
    <w:rsid w:val="00FE70A1"/>
    <w:rsid w:val="00FF7F11"/>
    <w:rsid w:val="01145609"/>
    <w:rsid w:val="01513DD9"/>
    <w:rsid w:val="02775E4F"/>
    <w:rsid w:val="04155920"/>
    <w:rsid w:val="04B4387B"/>
    <w:rsid w:val="05802D6E"/>
    <w:rsid w:val="05940D80"/>
    <w:rsid w:val="07202C50"/>
    <w:rsid w:val="0B1F0E32"/>
    <w:rsid w:val="0B505490"/>
    <w:rsid w:val="0BDB4F7C"/>
    <w:rsid w:val="0D5E75EB"/>
    <w:rsid w:val="0D5F64F6"/>
    <w:rsid w:val="0EA53157"/>
    <w:rsid w:val="0FF66AAF"/>
    <w:rsid w:val="10B22749"/>
    <w:rsid w:val="11B0784D"/>
    <w:rsid w:val="11DB182B"/>
    <w:rsid w:val="13D75DF6"/>
    <w:rsid w:val="15103903"/>
    <w:rsid w:val="15BD0358"/>
    <w:rsid w:val="16270A04"/>
    <w:rsid w:val="16305BD1"/>
    <w:rsid w:val="179A1164"/>
    <w:rsid w:val="17C63256"/>
    <w:rsid w:val="17E676D4"/>
    <w:rsid w:val="18FE0884"/>
    <w:rsid w:val="19DF0EF4"/>
    <w:rsid w:val="1A9A7AD6"/>
    <w:rsid w:val="1AF05640"/>
    <w:rsid w:val="1C276EDC"/>
    <w:rsid w:val="1EC617C2"/>
    <w:rsid w:val="21221225"/>
    <w:rsid w:val="23377209"/>
    <w:rsid w:val="24241C6D"/>
    <w:rsid w:val="25330325"/>
    <w:rsid w:val="299C6404"/>
    <w:rsid w:val="2ADA1594"/>
    <w:rsid w:val="2AE20629"/>
    <w:rsid w:val="2BBB64FD"/>
    <w:rsid w:val="2C520C10"/>
    <w:rsid w:val="2D8E2D42"/>
    <w:rsid w:val="2E3233C4"/>
    <w:rsid w:val="2E3C7F2B"/>
    <w:rsid w:val="2E530E82"/>
    <w:rsid w:val="2F004FCF"/>
    <w:rsid w:val="2F212B1B"/>
    <w:rsid w:val="314D409C"/>
    <w:rsid w:val="343541A1"/>
    <w:rsid w:val="34E9435B"/>
    <w:rsid w:val="35C00828"/>
    <w:rsid w:val="35C34585"/>
    <w:rsid w:val="36AB4C20"/>
    <w:rsid w:val="37A03D98"/>
    <w:rsid w:val="37EFDD15"/>
    <w:rsid w:val="38043EED"/>
    <w:rsid w:val="383C09C6"/>
    <w:rsid w:val="39537D75"/>
    <w:rsid w:val="3B166C3F"/>
    <w:rsid w:val="3BA945C4"/>
    <w:rsid w:val="3D7F202F"/>
    <w:rsid w:val="3DF30805"/>
    <w:rsid w:val="3E8E0B72"/>
    <w:rsid w:val="3F2B192B"/>
    <w:rsid w:val="40C61D12"/>
    <w:rsid w:val="40D2727B"/>
    <w:rsid w:val="411452CE"/>
    <w:rsid w:val="42E35208"/>
    <w:rsid w:val="4338087D"/>
    <w:rsid w:val="43492C11"/>
    <w:rsid w:val="4420119C"/>
    <w:rsid w:val="44575EE9"/>
    <w:rsid w:val="45156827"/>
    <w:rsid w:val="4541586E"/>
    <w:rsid w:val="456D0411"/>
    <w:rsid w:val="460C7C2A"/>
    <w:rsid w:val="46D30747"/>
    <w:rsid w:val="48253225"/>
    <w:rsid w:val="498521CD"/>
    <w:rsid w:val="4A963A19"/>
    <w:rsid w:val="4BF929FE"/>
    <w:rsid w:val="4C3B3F81"/>
    <w:rsid w:val="4CEC2563"/>
    <w:rsid w:val="4CF22188"/>
    <w:rsid w:val="4EC54B53"/>
    <w:rsid w:val="4EC831E2"/>
    <w:rsid w:val="4F6B22C7"/>
    <w:rsid w:val="500D0B7A"/>
    <w:rsid w:val="502D2757"/>
    <w:rsid w:val="52B07B8F"/>
    <w:rsid w:val="52B134DA"/>
    <w:rsid w:val="55964D55"/>
    <w:rsid w:val="55B260B2"/>
    <w:rsid w:val="55DD7C6E"/>
    <w:rsid w:val="56A93273"/>
    <w:rsid w:val="56F217E5"/>
    <w:rsid w:val="57352C0C"/>
    <w:rsid w:val="578B4E99"/>
    <w:rsid w:val="586F211E"/>
    <w:rsid w:val="58F76517"/>
    <w:rsid w:val="5960714D"/>
    <w:rsid w:val="5A0A04CC"/>
    <w:rsid w:val="5A7A22E8"/>
    <w:rsid w:val="5AC45778"/>
    <w:rsid w:val="5AFD63AD"/>
    <w:rsid w:val="5C2B20DF"/>
    <w:rsid w:val="5CE41F16"/>
    <w:rsid w:val="5DB42C29"/>
    <w:rsid w:val="5E343D6A"/>
    <w:rsid w:val="5E65396E"/>
    <w:rsid w:val="5F9052C4"/>
    <w:rsid w:val="5FA9650E"/>
    <w:rsid w:val="5FE17E97"/>
    <w:rsid w:val="60C63E51"/>
    <w:rsid w:val="60F150D6"/>
    <w:rsid w:val="6121225E"/>
    <w:rsid w:val="61355BDD"/>
    <w:rsid w:val="61907509"/>
    <w:rsid w:val="62C059CA"/>
    <w:rsid w:val="640E0118"/>
    <w:rsid w:val="660A3D34"/>
    <w:rsid w:val="67114C48"/>
    <w:rsid w:val="68354966"/>
    <w:rsid w:val="6888718C"/>
    <w:rsid w:val="694A2693"/>
    <w:rsid w:val="69586B5E"/>
    <w:rsid w:val="6ACB7804"/>
    <w:rsid w:val="6BE0108D"/>
    <w:rsid w:val="6D336600"/>
    <w:rsid w:val="6E617BA5"/>
    <w:rsid w:val="6EA84539"/>
    <w:rsid w:val="6EC10D02"/>
    <w:rsid w:val="6F5A3F07"/>
    <w:rsid w:val="6FC82564"/>
    <w:rsid w:val="707324D0"/>
    <w:rsid w:val="70913821"/>
    <w:rsid w:val="70DF1913"/>
    <w:rsid w:val="72007D93"/>
    <w:rsid w:val="748E5089"/>
    <w:rsid w:val="758807CB"/>
    <w:rsid w:val="75A874B6"/>
    <w:rsid w:val="75C134C9"/>
    <w:rsid w:val="77DC0BE8"/>
    <w:rsid w:val="78281497"/>
    <w:rsid w:val="788D45E4"/>
    <w:rsid w:val="7AA2057B"/>
    <w:rsid w:val="7B86755B"/>
    <w:rsid w:val="7C05207F"/>
    <w:rsid w:val="7C43369E"/>
    <w:rsid w:val="7C574B31"/>
    <w:rsid w:val="7E616938"/>
    <w:rsid w:val="7EBD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Body Text First Indent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uiPriority w:val="99"/>
    <w:qFormat/>
    <w:locked/>
    <w:rsid w:val="00BE6A45"/>
    <w:pPr>
      <w:ind w:firstLineChars="200" w:firstLine="420"/>
    </w:pPr>
    <w:rPr>
      <w:rFonts w:ascii="Times New Roman" w:hAnsi="Times New Roman"/>
    </w:rPr>
  </w:style>
  <w:style w:type="paragraph" w:styleId="a4">
    <w:name w:val="Body Text"/>
    <w:basedOn w:val="a"/>
    <w:link w:val="Char"/>
    <w:uiPriority w:val="99"/>
    <w:qFormat/>
    <w:locked/>
    <w:rsid w:val="00BE6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link w:val="2Char"/>
    <w:uiPriority w:val="99"/>
    <w:qFormat/>
    <w:locked/>
    <w:rsid w:val="00BE6A45"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0"/>
    <w:uiPriority w:val="99"/>
    <w:semiHidden/>
    <w:unhideWhenUsed/>
    <w:qFormat/>
    <w:locked/>
    <w:rsid w:val="00BE6A45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BE6A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uiPriority w:val="99"/>
    <w:qFormat/>
    <w:rsid w:val="00BE6A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Body Text First Indent"/>
    <w:basedOn w:val="a4"/>
    <w:link w:val="Char3"/>
    <w:uiPriority w:val="99"/>
    <w:semiHidden/>
    <w:unhideWhenUsed/>
    <w:qFormat/>
    <w:locked/>
    <w:rsid w:val="00BE6A45"/>
    <w:pPr>
      <w:widowControl w:val="0"/>
      <w:spacing w:before="0" w:beforeAutospacing="0" w:after="120" w:afterAutospacing="0"/>
      <w:ind w:firstLineChars="100" w:firstLine="420"/>
      <w:jc w:val="both"/>
    </w:pPr>
    <w:rPr>
      <w:rFonts w:ascii="Calibri" w:hAnsi="Calibri" w:cs="Times New Roman"/>
      <w:kern w:val="2"/>
      <w:sz w:val="21"/>
    </w:rPr>
  </w:style>
  <w:style w:type="table" w:styleId="a9">
    <w:name w:val="Table Grid"/>
    <w:basedOn w:val="a1"/>
    <w:uiPriority w:val="99"/>
    <w:qFormat/>
    <w:rsid w:val="00BE6A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locked/>
    <w:rsid w:val="00BE6A45"/>
    <w:rPr>
      <w:rFonts w:cs="Times New Roman"/>
      <w:b/>
      <w:bCs/>
    </w:rPr>
  </w:style>
  <w:style w:type="character" w:styleId="ab">
    <w:name w:val="page number"/>
    <w:basedOn w:val="a0"/>
    <w:uiPriority w:val="99"/>
    <w:qFormat/>
    <w:locked/>
    <w:rsid w:val="00BE6A45"/>
    <w:rPr>
      <w:rFonts w:cs="Times New Roman"/>
    </w:rPr>
  </w:style>
  <w:style w:type="character" w:styleId="ac">
    <w:name w:val="Hyperlink"/>
    <w:basedOn w:val="a0"/>
    <w:uiPriority w:val="99"/>
    <w:qFormat/>
    <w:locked/>
    <w:rsid w:val="00BE6A45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4"/>
    <w:uiPriority w:val="99"/>
    <w:semiHidden/>
    <w:qFormat/>
    <w:locked/>
    <w:rsid w:val="00BE6A45"/>
    <w:rPr>
      <w:rFonts w:cs="Times New Roman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qFormat/>
    <w:locked/>
    <w:rsid w:val="00BE6A45"/>
    <w:rPr>
      <w:rFonts w:cs="Times New Roman"/>
      <w:sz w:val="24"/>
      <w:szCs w:val="24"/>
    </w:rPr>
  </w:style>
  <w:style w:type="character" w:customStyle="1" w:styleId="Char1">
    <w:name w:val="页脚 Char"/>
    <w:basedOn w:val="a0"/>
    <w:link w:val="a6"/>
    <w:uiPriority w:val="99"/>
    <w:semiHidden/>
    <w:qFormat/>
    <w:locked/>
    <w:rsid w:val="00BE6A45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BE6A45"/>
    <w:rPr>
      <w:rFonts w:cs="Times New Roman"/>
      <w:sz w:val="18"/>
      <w:szCs w:val="18"/>
    </w:rPr>
  </w:style>
  <w:style w:type="paragraph" w:customStyle="1" w:styleId="Default1">
    <w:name w:val="Default1"/>
    <w:uiPriority w:val="99"/>
    <w:qFormat/>
    <w:rsid w:val="00BE6A45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ad">
    <w:name w:val="图名、表头名"/>
    <w:basedOn w:val="a"/>
    <w:uiPriority w:val="99"/>
    <w:qFormat/>
    <w:rsid w:val="00BE6A45"/>
    <w:pPr>
      <w:jc w:val="center"/>
    </w:pPr>
    <w:rPr>
      <w:rFonts w:ascii="仿宋" w:eastAsia="仿宋" w:hAnsi="仿宋"/>
      <w:b/>
    </w:rPr>
  </w:style>
  <w:style w:type="character" w:customStyle="1" w:styleId="Char3">
    <w:name w:val="正文首行缩进 Char"/>
    <w:basedOn w:val="Char"/>
    <w:link w:val="a8"/>
    <w:uiPriority w:val="99"/>
    <w:semiHidden/>
    <w:qFormat/>
    <w:rsid w:val="00BE6A45"/>
  </w:style>
  <w:style w:type="character" w:customStyle="1" w:styleId="Char0">
    <w:name w:val="批注框文本 Char"/>
    <w:basedOn w:val="a0"/>
    <w:link w:val="a5"/>
    <w:uiPriority w:val="99"/>
    <w:semiHidden/>
    <w:qFormat/>
    <w:rsid w:val="00BE6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9%AB%98%E7%BA%A7%E7%AE%A1%E7%90%86%E4%BA%BA%E5%91%98/105984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2183</Words>
  <Characters>373</Characters>
  <Application>Microsoft Office Word</Application>
  <DocSecurity>0</DocSecurity>
  <Lines>3</Lines>
  <Paragraphs>5</Paragraphs>
  <ScaleCrop>false</ScaleCrop>
  <Company>2012dnd.com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一棵大树呀</dc:creator>
  <cp:lastModifiedBy>Micorosoft</cp:lastModifiedBy>
  <cp:revision>5</cp:revision>
  <cp:lastPrinted>2023-06-15T07:49:00Z</cp:lastPrinted>
  <dcterms:created xsi:type="dcterms:W3CDTF">2023-06-15T22:44:00Z</dcterms:created>
  <dcterms:modified xsi:type="dcterms:W3CDTF">2023-06-15T07:49:00Z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729E7C6572D64D34939C340075A44990</vt:lpwstr>
  </property>
</Properties>
</file>