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1A" w:rsidRPr="00580F1A" w:rsidRDefault="00580F1A" w:rsidP="00580F1A">
      <w:pPr>
        <w:widowControl/>
        <w:jc w:val="center"/>
        <w:rPr>
          <w:rFonts w:ascii="黑体" w:eastAsia="黑体" w:hAnsi="宋体" w:cs="宋体" w:hint="eastAsia"/>
          <w:kern w:val="0"/>
          <w:sz w:val="44"/>
          <w:szCs w:val="44"/>
        </w:rPr>
      </w:pPr>
      <w:r w:rsidRPr="00580F1A">
        <w:rPr>
          <w:rFonts w:ascii="黑体" w:eastAsia="黑体" w:hAnsi="宋体" w:cs="宋体" w:hint="eastAsia"/>
          <w:b/>
          <w:bCs/>
          <w:color w:val="333333"/>
          <w:kern w:val="0"/>
          <w:sz w:val="44"/>
          <w:szCs w:val="44"/>
          <w:bdr w:val="none" w:sz="0" w:space="0" w:color="auto" w:frame="1"/>
          <w:shd w:val="clear" w:color="auto" w:fill="FFFFFF"/>
        </w:rPr>
        <w:t>袁州区2019年政府信息公开工作年度报告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580F1A">
        <w:rPr>
          <w:rFonts w:ascii="MS Gothic" w:eastAsia="MS Gothic" w:hAnsi="MS Gothic" w:cs="MS Gothic" w:hint="eastAsia"/>
          <w:color w:val="333333"/>
          <w:kern w:val="0"/>
          <w:sz w:val="26"/>
          <w:szCs w:val="26"/>
        </w:rPr>
        <w:t>​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60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黑体" w:eastAsia="黑体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一、总体情况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60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FFFFF"/>
        </w:rPr>
        <w:t>本年度报告根据《中华人民共和国政府信息公开条例》（以下简称《条例》）要求，汇总2019年袁州区政府信息公开报告编制而成。报告包括总体情况，主动公开政府信息情况，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收到和处理政府信息公开申请情况，政府信息公开行政复议、行政诉讼情况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FFFFF"/>
        </w:rPr>
        <w:t>，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存在的主要问题及改进措施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FFFFF"/>
        </w:rPr>
        <w:t>，其他需要报告的事项等6个部分。报告中所列数据的统计期限自2019年1月1日起至2019年12月31日止。本报告全文可在袁州区政府网（www.yzq.gov.cn）下载，如对本报告有疑问，可与袁州区人民政府办公室联系（地址：宜春市袁州区行政中心一楼108室；邮编：336000；电话：0795-3228286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  <w:shd w:val="clear" w:color="auto" w:fill="FFFFFF"/>
        </w:rPr>
        <w:t xml:space="preserve"> 0795-3228287；邮箱：yzqxxb@126.com）。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45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2019年，袁州区始终以习近平新时代中国特色社会主义思想为指导，深入贯彻决策、执行、管理、服务、结果“五公开”，主动做好政策宣传，积极扩大公众参与，及时回应社会关切，加快推进“互联网+政务服务”，助力打造人民满意的服务型政府。主要开展的工作有：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45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仿宋" w:eastAsia="仿宋" w:hAnsi="微软雅黑" w:cs="宋体" w:hint="eastAsia"/>
          <w:b/>
          <w:bCs/>
          <w:color w:val="333333"/>
          <w:kern w:val="0"/>
          <w:sz w:val="32"/>
        </w:rPr>
        <w:t>1.加强主动公开力度。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推进政府工作、政策执行阳光透明。坚持以公开为常态、不公开为例外，政府全体会议和常务会议讨论决定的事项、政府及其部门制定的政策，除依法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需要保密的以外做到及时公开，以公开促落实，以公开促规范，以公开促服务，使政策执行更加阳光透明。让群众“快知晓、会运用、多受益”。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45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仿宋" w:eastAsia="仿宋" w:hAnsi="微软雅黑" w:cs="宋体" w:hint="eastAsia"/>
          <w:b/>
          <w:bCs/>
          <w:color w:val="333333"/>
          <w:kern w:val="0"/>
          <w:sz w:val="32"/>
        </w:rPr>
        <w:t>2.推进网上办事服务公开。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全面推广“互联网+政务服务”，大力推行网上审批、智能审批，全面推行“一次不跑，一次办好”，推进政务服务一网通办，不断创新服务方式，提升用户体验，优化营商环境。推动网上办事服务事项标准化。逐步实现政务信息共享共用，加快整合各部门信息系统、构建完善政府网站网民留言、咨询的受理、转办和反馈机制，及时处理答复，为群众提供更好服务。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仿宋" w:eastAsia="仿宋" w:hAnsi="微软雅黑" w:cs="宋体" w:hint="eastAsia"/>
          <w:b/>
          <w:bCs/>
          <w:color w:val="333333"/>
          <w:kern w:val="0"/>
          <w:sz w:val="32"/>
        </w:rPr>
        <w:t>3.用好政务新媒体平台。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为充分发挥政务新媒体平台作用。建立了《袁州区政府网》微信公众号，拓宽信息公开和服务渠道，同时落实主体责任，严格内容审查把关，切实履行政府网站和新媒体平台监管责任，强化信息内容保障，及时公开政策文件。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450" w:lineRule="atLeast"/>
        <w:ind w:firstLine="64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仿宋" w:eastAsia="仿宋" w:hAnsi="微软雅黑" w:cs="宋体" w:hint="eastAsia"/>
          <w:b/>
          <w:bCs/>
          <w:color w:val="333333"/>
          <w:kern w:val="0"/>
          <w:sz w:val="32"/>
        </w:rPr>
        <w:t>4.推进政务公开制度化规范化。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完善政府信息公开审查机制。严格依照《保密法》《条例》以及其他有关规定，建立健全政府信息发布保密审查机制，定期自查、开展业务培训，规范政府信息发布工作，严防泄密事件发生。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黑体" w:eastAsia="黑体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二、主动公开政府信息情况</w:t>
      </w:r>
    </w:p>
    <w:tbl>
      <w:tblPr>
        <w:tblW w:w="886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30"/>
        <w:gridCol w:w="1980"/>
        <w:gridCol w:w="1815"/>
        <w:gridCol w:w="36"/>
        <w:gridCol w:w="1965"/>
      </w:tblGrid>
      <w:tr w:rsidR="00580F1A" w:rsidRPr="00580F1A" w:rsidTr="00580F1A">
        <w:trPr>
          <w:trHeight w:val="510"/>
          <w:tblCellSpacing w:w="15" w:type="dxa"/>
        </w:trPr>
        <w:tc>
          <w:tcPr>
            <w:tcW w:w="8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第二十条第（一）项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本年新制作数量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本年新公开数量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对外公开总数量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lastRenderedPageBreak/>
              <w:t>规章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 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0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规范性文件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 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88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第二十条第（五）项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上一年项目数量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本年增</w:t>
            </w: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处理决定数量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行政许可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 </w:t>
            </w:r>
            <w:r w:rsidRPr="00580F1A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 +1798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1569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其他对外管理服务事项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 xml:space="preserve">　+60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6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88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第二十条第（六）项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上一年项目数量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本年增</w:t>
            </w: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处理决定数量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行政处罚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414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+3313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3430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行政强制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+46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10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88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第二十条第（八）项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上一年项目数量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本年增</w:t>
            </w: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/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减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行政事业性收费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17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微软雅黑" w:eastAsia="微软雅黑" w:hAnsi="微软雅黑" w:cs="宋体" w:hint="eastAsia"/>
                <w:kern w:val="0"/>
                <w:sz w:val="23"/>
                <w:szCs w:val="23"/>
                <w:bdr w:val="none" w:sz="0" w:space="0" w:color="auto" w:frame="1"/>
              </w:rPr>
              <w:t>-1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88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第二十条第（九）项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采购项目数量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采购总金额</w:t>
            </w:r>
          </w:p>
        </w:tc>
      </w:tr>
      <w:tr w:rsidR="00580F1A" w:rsidRPr="00580F1A" w:rsidTr="00580F1A">
        <w:trPr>
          <w:trHeight w:val="510"/>
          <w:tblCellSpacing w:w="15" w:type="dxa"/>
        </w:trPr>
        <w:tc>
          <w:tcPr>
            <w:tcW w:w="32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政府集中采购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265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300" w:lineRule="atLeast"/>
              <w:ind w:firstLine="22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3"/>
                <w:szCs w:val="23"/>
                <w:bdr w:val="none" w:sz="0" w:space="0" w:color="auto" w:frame="1"/>
              </w:rPr>
              <w:t>532.34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3"/>
                <w:szCs w:val="23"/>
                <w:bdr w:val="none" w:sz="0" w:space="0" w:color="auto" w:frame="1"/>
              </w:rPr>
              <w:t>万元</w:t>
            </w:r>
          </w:p>
        </w:tc>
      </w:tr>
      <w:tr w:rsidR="00580F1A" w:rsidRPr="00580F1A" w:rsidTr="00580F1A">
        <w:trPr>
          <w:tblCellSpacing w:w="15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580F1A" w:rsidRPr="00580F1A" w:rsidRDefault="00580F1A" w:rsidP="00580F1A">
      <w:pPr>
        <w:widowControl/>
        <w:shd w:val="clear" w:color="auto" w:fill="FFFFFF"/>
        <w:wordWrap w:val="0"/>
        <w:spacing w:line="60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微软雅黑" w:eastAsia="微软雅黑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600" w:lineRule="atLeast"/>
        <w:ind w:firstLine="315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黑体" w:eastAsia="黑体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三、收到和处理政府信息公开申请情况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0"/>
        <w:gridCol w:w="854"/>
        <w:gridCol w:w="2075"/>
        <w:gridCol w:w="808"/>
        <w:gridCol w:w="748"/>
        <w:gridCol w:w="748"/>
        <w:gridCol w:w="808"/>
        <w:gridCol w:w="972"/>
        <w:gridCol w:w="718"/>
        <w:gridCol w:w="704"/>
      </w:tblGrid>
      <w:tr w:rsidR="00580F1A" w:rsidRPr="00580F1A" w:rsidTr="00580F1A">
        <w:trPr>
          <w:trHeight w:val="390"/>
          <w:tblCellSpacing w:w="0" w:type="dxa"/>
        </w:trPr>
        <w:tc>
          <w:tcPr>
            <w:tcW w:w="35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申请人情况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法律服务机构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 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 10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三、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9 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危及</w:t>
            </w: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“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三安全一稳定</w:t>
            </w: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”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6.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7.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8.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1.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2.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3.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4.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5.</w:t>
            </w: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 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10</w:t>
            </w:r>
          </w:p>
        </w:tc>
      </w:tr>
      <w:tr w:rsidR="00580F1A" w:rsidRPr="00580F1A" w:rsidTr="00580F1A">
        <w:trPr>
          <w:trHeight w:val="390"/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</w:tbl>
    <w:p w:rsidR="00580F1A" w:rsidRPr="00580F1A" w:rsidRDefault="00580F1A" w:rsidP="00580F1A">
      <w:pPr>
        <w:widowControl/>
        <w:shd w:val="clear" w:color="auto" w:fill="FFFFFF"/>
        <w:wordWrap w:val="0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黑体" w:eastAsia="黑体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四、政府信息公开行政复议、行政诉讼情况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580F1A" w:rsidRPr="00580F1A" w:rsidTr="00580F1A">
        <w:trPr>
          <w:tblCellSpacing w:w="0" w:type="dxa"/>
        </w:trPr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行政诉讼</w:t>
            </w:r>
          </w:p>
        </w:tc>
      </w:tr>
      <w:tr w:rsidR="00580F1A" w:rsidRPr="00580F1A" w:rsidTr="00580F1A"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复议后起诉</w:t>
            </w:r>
          </w:p>
        </w:tc>
      </w:tr>
      <w:tr w:rsidR="00580F1A" w:rsidRPr="00580F1A" w:rsidTr="00580F1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结果维</w:t>
            </w: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结果纠</w:t>
            </w: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其他结</w:t>
            </w: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尚未审</w:t>
            </w: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t>结果维</w:t>
            </w: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结果纠</w:t>
            </w: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正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其他结</w:t>
            </w: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尚未审</w:t>
            </w: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结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80F1A" w:rsidRPr="00580F1A" w:rsidRDefault="00580F1A" w:rsidP="00580F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 w:hint="eastAsia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总计</w:t>
            </w:r>
          </w:p>
        </w:tc>
      </w:tr>
      <w:tr w:rsidR="00580F1A" w:rsidRPr="00580F1A" w:rsidTr="00580F1A">
        <w:trPr>
          <w:tblCellSpacing w:w="0" w:type="dxa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80F1A" w:rsidRPr="00580F1A" w:rsidRDefault="00580F1A" w:rsidP="00580F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80F1A">
              <w:rPr>
                <w:rFonts w:ascii="宋体" w:eastAsia="宋体" w:hAnsi="宋体" w:cs="宋体"/>
                <w:kern w:val="0"/>
                <w:sz w:val="20"/>
                <w:szCs w:val="20"/>
                <w:bdr w:val="none" w:sz="0" w:space="0" w:color="auto" w:frame="1"/>
              </w:rPr>
              <w:t>0 </w:t>
            </w:r>
          </w:p>
        </w:tc>
      </w:tr>
    </w:tbl>
    <w:p w:rsidR="00580F1A" w:rsidRPr="00580F1A" w:rsidRDefault="00580F1A" w:rsidP="005B17FE">
      <w:pPr>
        <w:widowControl/>
        <w:shd w:val="clear" w:color="auto" w:fill="FFFFFF"/>
        <w:wordWrap w:val="0"/>
        <w:spacing w:line="600" w:lineRule="atLeas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黑体" w:eastAsia="黑体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五、存在的主要问题及改进措施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45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（一）工作中存在的主要问题和困难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2019年，我区政务公开、政府信息公开工作取得了一定成效，但仍存在一些问题：一是工作基础需进一步夯实。中办、国办《关于全面推进政务公开工作的意见》将政务公开的范围扩大到行政决策、执行、管理、服务、结果和重点领域，远超《政府信息公开条例》所规定的信息公开范围，在公开的广度和深度方面都提出了新的更高要求。二是部分部门对政务公开工作重要性的认识不到位，对政务公开内容例如对重点领域公开的要求等理解不透彻，推进政务公开工作相对滞后。三是公开内容需进一步深化，公开形式需进一步优化，政务公开的有效性、便民性需进一步提高。四是长效工作机制需进一步健全完善，工作考核和监督评议等工作仍需加强。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　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（二）具体的解决办法和改进措施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450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　　进一步深化重点领域信息公开，明确“五公开”的主体、内容、时限、形式等要件，主动做好解读工作。对公开内容进行动态扩展和定期审查。不断拓展政务公开层面，推动政务公开向基层延伸。</w:t>
      </w:r>
    </w:p>
    <w:p w:rsidR="00580F1A" w:rsidRPr="00580F1A" w:rsidRDefault="00580F1A" w:rsidP="00580F1A">
      <w:pPr>
        <w:widowControl/>
        <w:shd w:val="clear" w:color="auto" w:fill="FFFFFF"/>
        <w:wordWrap w:val="0"/>
        <w:spacing w:line="60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580F1A">
        <w:rPr>
          <w:rFonts w:ascii="黑体" w:eastAsia="黑体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六、其他需要报告的事项</w:t>
      </w:r>
    </w:p>
    <w:p w:rsidR="00DB5467" w:rsidRPr="005B17FE" w:rsidRDefault="00580F1A" w:rsidP="005B17FE">
      <w:pPr>
        <w:widowControl/>
        <w:shd w:val="clear" w:color="auto" w:fill="FFFFFF"/>
        <w:wordWrap w:val="0"/>
        <w:spacing w:line="420" w:lineRule="atLeast"/>
        <w:ind w:firstLine="645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580F1A">
        <w:rPr>
          <w:rFonts w:ascii="仿宋" w:eastAsia="仿宋" w:hAnsi="微软雅黑" w:cs="宋体" w:hint="eastAsia"/>
          <w:color w:val="333333"/>
          <w:kern w:val="0"/>
          <w:sz w:val="32"/>
          <w:szCs w:val="32"/>
          <w:bdr w:val="none" w:sz="0" w:space="0" w:color="auto" w:frame="1"/>
        </w:rPr>
        <w:t>其他需要报告的事项：无</w:t>
      </w:r>
    </w:p>
    <w:sectPr w:rsidR="00DB5467" w:rsidRPr="005B1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467" w:rsidRDefault="00DB5467" w:rsidP="00580F1A">
      <w:r>
        <w:separator/>
      </w:r>
    </w:p>
  </w:endnote>
  <w:endnote w:type="continuationSeparator" w:id="1">
    <w:p w:rsidR="00DB5467" w:rsidRDefault="00DB5467" w:rsidP="00580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467" w:rsidRDefault="00DB5467" w:rsidP="00580F1A">
      <w:r>
        <w:separator/>
      </w:r>
    </w:p>
  </w:footnote>
  <w:footnote w:type="continuationSeparator" w:id="1">
    <w:p w:rsidR="00DB5467" w:rsidRDefault="00DB5467" w:rsidP="00580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F1A"/>
    <w:rsid w:val="00580F1A"/>
    <w:rsid w:val="005B17FE"/>
    <w:rsid w:val="00DB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F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F1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80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80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wuzhihui</dc:creator>
  <cp:keywords/>
  <dc:description/>
  <cp:lastModifiedBy>wuzhihui</cp:lastModifiedBy>
  <cp:revision>3</cp:revision>
  <dcterms:created xsi:type="dcterms:W3CDTF">2021-04-27T09:44:00Z</dcterms:created>
  <dcterms:modified xsi:type="dcterms:W3CDTF">2021-04-27T09:45:00Z</dcterms:modified>
</cp:coreProperties>
</file>