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sz w:val="44"/>
          <w:szCs w:val="44"/>
        </w:rPr>
      </w:pPr>
      <w:r>
        <w:rPr>
          <w:rFonts w:hint="eastAsia" w:ascii="方正小标宋简体" w:eastAsia="方正小标宋简体" w:cs="方正小标宋简体"/>
          <w:sz w:val="44"/>
          <w:szCs w:val="44"/>
        </w:rPr>
        <w:t>袁州区202</w:t>
      </w:r>
      <w:r>
        <w:rPr>
          <w:rFonts w:ascii="方正小标宋简体" w:eastAsia="方正小标宋简体" w:cs="方正小标宋简体"/>
          <w:sz w:val="44"/>
          <w:szCs w:val="44"/>
        </w:rPr>
        <w:t>2</w:t>
      </w:r>
      <w:r>
        <w:rPr>
          <w:rFonts w:hint="eastAsia" w:asci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本年度报告根据《中华人民共和国政府信息公开条例》（以下简称《条例》）有关规定，按照国务院办公厅政府信息与政务公开办公室印发《关于做好年度报告编制发布工作的通知》（国办公开办函〔2021〕30号）要求，由袁州区人民政府办公室综合区直各单位、各乡镇人民政府、各街道办事处的政府信息公开年度报告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统计期限自202</w:t>
      </w:r>
      <w:r>
        <w:rPr>
          <w:rFonts w:ascii="仿宋_GB2312" w:eastAsia="仿宋_GB2312" w:cs="仿宋_GB2312"/>
          <w:sz w:val="32"/>
          <w:szCs w:val="32"/>
        </w:rPr>
        <w:t>2</w:t>
      </w:r>
      <w:r>
        <w:rPr>
          <w:rFonts w:hint="eastAsia" w:ascii="仿宋_GB2312" w:eastAsia="仿宋_GB2312" w:cs="仿宋_GB2312"/>
          <w:sz w:val="32"/>
          <w:szCs w:val="32"/>
        </w:rPr>
        <w:t>年1月1日起到202</w:t>
      </w:r>
      <w:r>
        <w:rPr>
          <w:rFonts w:ascii="仿宋_GB2312" w:eastAsia="仿宋_GB2312" w:cs="仿宋_GB2312"/>
          <w:sz w:val="32"/>
          <w:szCs w:val="32"/>
        </w:rPr>
        <w:t>2</w:t>
      </w:r>
      <w:r>
        <w:rPr>
          <w:rFonts w:hint="eastAsia" w:ascii="仿宋_GB2312" w:eastAsia="仿宋_GB2312" w:cs="仿宋_GB2312"/>
          <w:sz w:val="32"/>
          <w:szCs w:val="32"/>
        </w:rPr>
        <w:t>年12月31日止。本报告电子版可在袁州区政府门户网站（www.yzq.gov.cn）下载。如对本报告有疑问，请与我区人民政府办公室政务公开股联系（地址：宜春市袁山东路198号袁州区行政中心，邮编：336000，联系电话：0795-3222180，电子邮箱：yzqzwgk@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202</w:t>
      </w:r>
      <w:r>
        <w:rPr>
          <w:rFonts w:ascii="仿宋_GB2312" w:eastAsia="仿宋_GB2312" w:cs="仿宋_GB2312"/>
          <w:sz w:val="32"/>
          <w:szCs w:val="32"/>
        </w:rPr>
        <w:t>2</w:t>
      </w:r>
      <w:r>
        <w:rPr>
          <w:rFonts w:hint="eastAsia" w:ascii="仿宋_GB2312" w:eastAsia="仿宋_GB2312" w:cs="仿宋_GB2312"/>
          <w:sz w:val="32"/>
          <w:szCs w:val="32"/>
        </w:rPr>
        <w:t>年，袁州区</w:t>
      </w:r>
      <w:r>
        <w:rPr>
          <w:rFonts w:ascii="仿宋_GB2312" w:eastAsia="仿宋_GB2312" w:cs="仿宋_GB2312"/>
          <w:sz w:val="32"/>
          <w:szCs w:val="32"/>
        </w:rPr>
        <w:t>深入贯彻落实党中央、国务院关于全面推进政务公开工作的各项决策部署，全面落实《条例》以及《规定》，着力提高政务公开标准化、规范化水平。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楷体_GB2312" w:cs="楷体_GB2312"/>
          <w:sz w:val="32"/>
          <w:szCs w:val="32"/>
        </w:rPr>
      </w:pPr>
      <w:r>
        <w:rPr>
          <w:rFonts w:hint="eastAsia" w:ascii="楷体_GB2312" w:eastAsia="楷体_GB2312" w:cs="楷体_GB2312"/>
          <w:sz w:val="32"/>
          <w:szCs w:val="32"/>
        </w:rPr>
        <w:t>（一）主动公开方面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全区以政府（办）名义制发公文174件，主动公开公文94件，主动公开率为54.02%，比2021年提高2.18%。集中发布本区2022年度人大代表建议、议案和政协提案办理情况。规范做好决策公开，优化重大决策栏目架构，年内共2次邀请公众代表出席区政府常务会议参与政策制定讨论。精准政策解读，采取H5、主要负责人解读等多种方式丰富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rPr>
      </w:pPr>
      <w:r>
        <w:rPr>
          <w:rFonts w:ascii="仿宋_GB2312" w:eastAsia="仿宋_GB2312" w:cs="仿宋_GB2312"/>
          <w:sz w:val="32"/>
          <w:szCs w:val="32"/>
        </w:rPr>
        <w:t>制定</w:t>
      </w:r>
      <w:r>
        <w:rPr>
          <w:rFonts w:ascii="仿宋_GB2312" w:eastAsia="仿宋_GB2312" w:cs="仿宋_GB2312"/>
          <w:sz w:val="32"/>
          <w:szCs w:val="32"/>
          <w:lang w:eastAsia="zh-CN"/>
        </w:rPr>
        <w:t>行政</w:t>
      </w:r>
      <w:r>
        <w:rPr>
          <w:rFonts w:hint="eastAsia" w:ascii="仿宋_GB2312" w:eastAsia="仿宋_GB2312" w:cs="仿宋_GB2312"/>
          <w:sz w:val="32"/>
          <w:szCs w:val="32"/>
        </w:rPr>
        <w:t>规范性文件</w:t>
      </w:r>
      <w:r>
        <w:rPr>
          <w:rFonts w:ascii="仿宋_GB2312" w:eastAsia="仿宋_GB2312" w:cs="仿宋_GB2312"/>
          <w:sz w:val="32"/>
          <w:szCs w:val="32"/>
        </w:rPr>
        <w:t>《袁州医药工业园化工集中区管理办法（暂行）》</w:t>
      </w:r>
      <w:r>
        <w:rPr>
          <w:rFonts w:hint="eastAsia" w:ascii="仿宋_GB2312" w:eastAsia="仿宋_GB2312" w:cs="仿宋_GB2312"/>
          <w:sz w:val="32"/>
          <w:szCs w:val="32"/>
          <w:lang w:eastAsia="zh-CN"/>
        </w:rPr>
        <w:t>等</w:t>
      </w:r>
      <w:r>
        <w:rPr>
          <w:rFonts w:ascii="仿宋_GB2312" w:eastAsia="仿宋_GB2312" w:cs="仿宋_GB2312"/>
          <w:sz w:val="32"/>
          <w:szCs w:val="32"/>
        </w:rPr>
        <w:t>5</w:t>
      </w:r>
      <w:r>
        <w:rPr>
          <w:rFonts w:hint="eastAsia" w:ascii="仿宋_GB2312" w:eastAsia="仿宋_GB2312" w:cs="仿宋_GB2312"/>
          <w:sz w:val="32"/>
          <w:szCs w:val="32"/>
        </w:rPr>
        <w:t>件</w:t>
      </w:r>
      <w:r>
        <w:rPr>
          <w:rFonts w:hint="eastAsia" w:ascii="仿宋_GB2312" w:eastAsia="仿宋_GB2312" w:cs="仿宋_GB2312"/>
          <w:sz w:val="32"/>
          <w:szCs w:val="32"/>
          <w:lang w:eastAsia="zh-CN"/>
        </w:rPr>
        <w:t>，制发</w:t>
      </w:r>
      <w:r>
        <w:rPr>
          <w:rFonts w:hint="eastAsia" w:ascii="仿宋_GB2312" w:eastAsia="仿宋_GB2312" w:cs="仿宋_GB2312"/>
          <w:sz w:val="32"/>
          <w:szCs w:val="32"/>
        </w:rPr>
        <w:t>行政规范性文件</w:t>
      </w:r>
      <w:r>
        <w:rPr>
          <w:rFonts w:hint="eastAsia" w:ascii="仿宋_GB2312" w:eastAsia="仿宋_GB2312" w:cs="仿宋_GB2312"/>
          <w:sz w:val="32"/>
          <w:szCs w:val="32"/>
          <w:lang w:val="en-US"/>
        </w:rPr>
        <w:t>5件，废止5件，现行有效27件</w:t>
      </w:r>
      <w:r>
        <w:rPr>
          <w:rFonts w:hint="eastAsia" w:ascii="仿宋_GB2312" w:eastAsia="仿宋_GB2312" w:cs="仿宋_GB2312"/>
          <w:sz w:val="32"/>
          <w:szCs w:val="32"/>
        </w:rPr>
        <w:t>。处理行政许可决定数量</w:t>
      </w:r>
      <w:r>
        <w:rPr>
          <w:rFonts w:hint="eastAsia" w:ascii="仿宋_GB2312" w:eastAsia="仿宋_GB2312" w:cs="仿宋_GB2312"/>
          <w:sz w:val="32"/>
          <w:szCs w:val="32"/>
          <w:lang w:val="en-US"/>
        </w:rPr>
        <w:t>31737件、行政处罚决定数量1430件、行政强制决定数量6件；</w:t>
      </w:r>
      <w:r>
        <w:rPr>
          <w:rFonts w:hint="eastAsia" w:ascii="仿宋_GB2312" w:eastAsia="仿宋_GB2312" w:cs="仿宋_GB2312"/>
          <w:sz w:val="32"/>
          <w:szCs w:val="32"/>
        </w:rPr>
        <w:t>全面、规范公开森林植被恢复费、公办幼儿园保教费等25项行政事业性收费项目，总收费金额</w:t>
      </w:r>
      <w:r>
        <w:rPr>
          <w:rFonts w:ascii="仿宋_GB2312" w:eastAsia="仿宋_GB2312" w:cs="仿宋_GB2312"/>
          <w:sz w:val="32"/>
          <w:szCs w:val="32"/>
          <w:lang w:val="en-US"/>
        </w:rPr>
        <w:t>4590.31</w:t>
      </w:r>
      <w:r>
        <w:rPr>
          <w:rFonts w:hint="eastAsia" w:ascii="仿宋_GB2312" w:eastAsia="仿宋_GB2312" w:cs="仿宋_GB2312"/>
          <w:sz w:val="32"/>
          <w:szCs w:val="32"/>
          <w:lang w:val="en-US"/>
        </w:rPr>
        <w:t>万元</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楷体_GB2312" w:cs="楷体_GB2312"/>
          <w:sz w:val="32"/>
          <w:szCs w:val="32"/>
        </w:rPr>
      </w:pPr>
      <w:r>
        <w:rPr>
          <w:rFonts w:hint="eastAsia" w:ascii="楷体_GB2312" w:eastAsia="楷体_GB2312" w:cs="楷体_GB2312"/>
          <w:sz w:val="32"/>
          <w:szCs w:val="32"/>
        </w:rPr>
        <w:t>（二）依申请公开方面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202</w:t>
      </w:r>
      <w:r>
        <w:rPr>
          <w:rFonts w:ascii="仿宋_GB2312" w:eastAsia="仿宋_GB2312" w:cs="仿宋_GB2312"/>
          <w:sz w:val="32"/>
          <w:szCs w:val="32"/>
        </w:rPr>
        <w:t>2</w:t>
      </w:r>
      <w:r>
        <w:rPr>
          <w:rFonts w:hint="eastAsia" w:ascii="仿宋_GB2312" w:eastAsia="仿宋_GB2312" w:cs="仿宋_GB2312"/>
          <w:sz w:val="32"/>
          <w:szCs w:val="32"/>
        </w:rPr>
        <w:t>年度，我区共受理政府信息公开申请</w:t>
      </w:r>
      <w:r>
        <w:rPr>
          <w:rFonts w:ascii="仿宋_GB2312" w:eastAsia="仿宋_GB2312" w:cs="仿宋_GB2312"/>
          <w:sz w:val="32"/>
          <w:szCs w:val="32"/>
        </w:rPr>
        <w:t>48</w:t>
      </w:r>
      <w:r>
        <w:rPr>
          <w:rFonts w:hint="eastAsia" w:ascii="仿宋_GB2312" w:eastAsia="仿宋_GB2312" w:cs="仿宋_GB2312"/>
          <w:sz w:val="32"/>
          <w:szCs w:val="32"/>
        </w:rPr>
        <w:t>件，答复政府信息公开申请</w:t>
      </w:r>
      <w:r>
        <w:rPr>
          <w:rFonts w:ascii="仿宋_GB2312" w:eastAsia="仿宋_GB2312" w:cs="仿宋_GB2312"/>
          <w:sz w:val="32"/>
          <w:szCs w:val="32"/>
        </w:rPr>
        <w:t>49</w:t>
      </w:r>
      <w:r>
        <w:rPr>
          <w:rFonts w:hint="eastAsia" w:ascii="仿宋_GB2312" w:eastAsia="仿宋_GB2312" w:cs="仿宋_GB2312"/>
          <w:sz w:val="32"/>
          <w:szCs w:val="32"/>
        </w:rPr>
        <w:t>件，均在法定期限内予以答复。予以公开及部分公开</w:t>
      </w:r>
      <w:r>
        <w:rPr>
          <w:rFonts w:ascii="仿宋_GB2312" w:eastAsia="仿宋_GB2312" w:cs="仿宋_GB2312"/>
          <w:sz w:val="32"/>
          <w:szCs w:val="32"/>
        </w:rPr>
        <w:t>45</w:t>
      </w:r>
      <w:r>
        <w:rPr>
          <w:rFonts w:hint="eastAsia" w:ascii="仿宋_GB2312" w:eastAsia="仿宋_GB2312" w:cs="仿宋_GB2312"/>
          <w:sz w:val="32"/>
          <w:szCs w:val="32"/>
        </w:rPr>
        <w:t>件，占9</w:t>
      </w:r>
      <w:r>
        <w:rPr>
          <w:rFonts w:ascii="仿宋_GB2312" w:eastAsia="仿宋_GB2312" w:cs="仿宋_GB2312"/>
          <w:sz w:val="32"/>
          <w:szCs w:val="32"/>
        </w:rPr>
        <w:t>1.84</w:t>
      </w:r>
      <w:r>
        <w:rPr>
          <w:rFonts w:hint="eastAsia" w:ascii="仿宋_GB2312" w:eastAsia="仿宋_GB2312" w:cs="仿宋_GB2312"/>
          <w:sz w:val="32"/>
          <w:szCs w:val="32"/>
        </w:rPr>
        <w:t>%；不予公开</w:t>
      </w:r>
      <w:r>
        <w:rPr>
          <w:rFonts w:ascii="仿宋_GB2312" w:eastAsia="仿宋_GB2312" w:cs="仿宋_GB2312"/>
          <w:sz w:val="32"/>
          <w:szCs w:val="32"/>
        </w:rPr>
        <w:t>1</w:t>
      </w:r>
      <w:r>
        <w:rPr>
          <w:rFonts w:hint="eastAsia" w:ascii="仿宋_GB2312" w:eastAsia="仿宋_GB2312" w:cs="仿宋_GB2312"/>
          <w:sz w:val="32"/>
          <w:szCs w:val="32"/>
        </w:rPr>
        <w:t>件，占</w:t>
      </w:r>
      <w:r>
        <w:rPr>
          <w:rFonts w:ascii="仿宋_GB2312" w:eastAsia="仿宋_GB2312" w:cs="仿宋_GB2312"/>
          <w:sz w:val="32"/>
          <w:szCs w:val="32"/>
        </w:rPr>
        <w:t>2.04</w:t>
      </w:r>
      <w:r>
        <w:rPr>
          <w:rFonts w:hint="eastAsia" w:ascii="仿宋_GB2312" w:eastAsia="仿宋_GB2312" w:cs="仿宋_GB2312"/>
          <w:sz w:val="32"/>
          <w:szCs w:val="32"/>
        </w:rPr>
        <w:t>%；因本机关不掌握等原因无法提供</w:t>
      </w:r>
      <w:r>
        <w:rPr>
          <w:rFonts w:ascii="仿宋_GB2312" w:eastAsia="仿宋_GB2312" w:cs="仿宋_GB2312"/>
          <w:sz w:val="32"/>
          <w:szCs w:val="32"/>
        </w:rPr>
        <w:t>3</w:t>
      </w:r>
      <w:r>
        <w:rPr>
          <w:rFonts w:hint="eastAsia" w:ascii="仿宋_GB2312" w:eastAsia="仿宋_GB2312" w:cs="仿宋_GB2312"/>
          <w:sz w:val="32"/>
          <w:szCs w:val="32"/>
        </w:rPr>
        <w:t>件，占</w:t>
      </w:r>
      <w:r>
        <w:rPr>
          <w:rFonts w:ascii="仿宋_GB2312" w:eastAsia="仿宋_GB2312" w:cs="仿宋_GB2312"/>
          <w:sz w:val="32"/>
          <w:szCs w:val="32"/>
        </w:rPr>
        <w:t>6.12</w:t>
      </w:r>
      <w:r>
        <w:rPr>
          <w:rFonts w:hint="eastAsia" w:ascii="仿宋_GB2312" w:eastAsia="仿宋_GB2312" w:cs="仿宋_GB2312"/>
          <w:sz w:val="32"/>
          <w:szCs w:val="32"/>
        </w:rPr>
        <w:t>%。信息公开类行政诉讼“</w:t>
      </w:r>
      <w:r>
        <w:rPr>
          <w:rFonts w:ascii="仿宋_GB2312" w:eastAsia="仿宋_GB2312" w:cs="仿宋_GB2312"/>
          <w:sz w:val="32"/>
          <w:szCs w:val="32"/>
        </w:rPr>
        <w:t>结果维持</w:t>
      </w:r>
      <w:r>
        <w:rPr>
          <w:rFonts w:hint="eastAsia" w:ascii="仿宋_GB2312" w:eastAsia="仿宋_GB2312" w:cs="仿宋_GB2312"/>
          <w:sz w:val="32"/>
          <w:szCs w:val="32"/>
        </w:rPr>
        <w:t>”1件，未出现被纠错的情况。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整体来看，申请人以自然人为主，申请公开的内容主要涉及</w:t>
      </w:r>
      <w:r>
        <w:rPr>
          <w:rFonts w:ascii="仿宋_GB2312" w:eastAsia="仿宋_GB2312" w:cs="仿宋_GB2312"/>
          <w:sz w:val="32"/>
          <w:szCs w:val="32"/>
        </w:rPr>
        <w:t>征地拆迁</w:t>
      </w:r>
      <w:r>
        <w:rPr>
          <w:rFonts w:hint="eastAsia" w:ascii="仿宋_GB2312" w:eastAsia="仿宋_GB2312" w:cs="仿宋_GB2312"/>
          <w:sz w:val="32"/>
          <w:szCs w:val="32"/>
        </w:rPr>
        <w:t>政策及</w:t>
      </w:r>
      <w:r>
        <w:rPr>
          <w:rFonts w:hint="eastAsia" w:ascii="仿宋_GB2312" w:eastAsia="仿宋_GB2312" w:cs="仿宋_GB2312"/>
          <w:sz w:val="32"/>
          <w:szCs w:val="32"/>
          <w:lang w:eastAsia="zh-CN"/>
        </w:rPr>
        <w:t>补偿</w:t>
      </w:r>
      <w:r>
        <w:rPr>
          <w:rFonts w:ascii="仿宋_GB2312" w:eastAsia="仿宋_GB2312" w:cs="仿宋_GB2312"/>
          <w:sz w:val="32"/>
          <w:szCs w:val="32"/>
          <w:lang w:eastAsia="zh-CN"/>
        </w:rPr>
        <w:t>结果</w:t>
      </w:r>
      <w:r>
        <w:rPr>
          <w:rFonts w:hint="eastAsia" w:ascii="仿宋_GB2312" w:eastAsia="仿宋_GB2312" w:cs="仿宋_GB2312"/>
          <w:sz w:val="32"/>
          <w:szCs w:val="32"/>
        </w:rPr>
        <w:t>、</w:t>
      </w:r>
      <w:r>
        <w:rPr>
          <w:rFonts w:ascii="仿宋_GB2312" w:eastAsia="仿宋_GB2312" w:cs="仿宋_GB2312"/>
          <w:sz w:val="32"/>
          <w:szCs w:val="32"/>
        </w:rPr>
        <w:t>房地产领域、国土空间规划等</w:t>
      </w:r>
      <w:r>
        <w:rPr>
          <w:rFonts w:hint="eastAsia" w:ascii="仿宋_GB2312" w:eastAsia="仿宋_GB2312" w:cs="仿宋_GB2312"/>
          <w:sz w:val="32"/>
          <w:szCs w:val="32"/>
        </w:rPr>
        <w:t>有关</w:t>
      </w:r>
      <w:r>
        <w:rPr>
          <w:rFonts w:ascii="仿宋_GB2312" w:eastAsia="仿宋_GB2312" w:cs="仿宋_GB2312"/>
          <w:sz w:val="32"/>
          <w:szCs w:val="32"/>
        </w:rPr>
        <w:t>信息，占比达60%</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楷体_GB2312" w:eastAsia="楷体_GB2312" w:cs="楷体_GB2312"/>
          <w:sz w:val="32"/>
          <w:szCs w:val="32"/>
        </w:rPr>
        <w:t>（三）政府信息管理方面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通过全省统一的政务公开工作平台，加强对本区政务公开工作的数字化管理</w:t>
      </w:r>
      <w:r>
        <w:rPr>
          <w:rFonts w:hint="eastAsia" w:ascii="仿宋_GB2312" w:eastAsia="仿宋_GB2312" w:cs="仿宋_GB2312"/>
          <w:sz w:val="32"/>
          <w:szCs w:val="32"/>
          <w:lang w:eastAsia="zh-CN"/>
        </w:rPr>
        <w:t>，全年独立用户访问总量505020个、网站总访问量6126616次、信息发布6299条，设置专栏专题14个，安全检测评估12次，建立安全监测预警机制并明确网站安全责任人</w:t>
      </w:r>
      <w:r>
        <w:rPr>
          <w:rFonts w:hint="eastAsia" w:ascii="仿宋_GB2312" w:eastAsia="仿宋_GB2312" w:cs="仿宋_GB2312"/>
          <w:sz w:val="32"/>
          <w:szCs w:val="32"/>
        </w:rPr>
        <w:t>。</w:t>
      </w:r>
      <w:r>
        <w:rPr>
          <w:rFonts w:ascii="仿宋_GB2312" w:eastAsia="仿宋_GB2312" w:cs="仿宋_GB2312"/>
          <w:sz w:val="32"/>
          <w:szCs w:val="32"/>
        </w:rPr>
        <w:t>对历史政府公文开展全面梳理和公开属性源头认定工作，在门户网站</w:t>
      </w:r>
      <w:r>
        <w:rPr>
          <w:rFonts w:hint="eastAsia" w:ascii="仿宋_GB2312" w:eastAsia="仿宋_GB2312" w:cs="仿宋_GB2312"/>
          <w:sz w:val="32"/>
          <w:szCs w:val="32"/>
        </w:rPr>
        <w:t>“</w:t>
      </w:r>
      <w:r>
        <w:rPr>
          <w:rFonts w:ascii="仿宋_GB2312" w:eastAsia="仿宋_GB2312" w:cs="仿宋_GB2312"/>
          <w:sz w:val="32"/>
          <w:szCs w:val="32"/>
        </w:rPr>
        <w:t>政策文件</w:t>
      </w:r>
      <w:r>
        <w:rPr>
          <w:rFonts w:hint="eastAsia" w:ascii="仿宋_GB2312" w:eastAsia="仿宋_GB2312" w:cs="仿宋_GB2312"/>
          <w:sz w:val="32"/>
          <w:szCs w:val="32"/>
        </w:rPr>
        <w:t>”</w:t>
      </w:r>
      <w:r>
        <w:rPr>
          <w:rFonts w:ascii="仿宋_GB2312" w:eastAsia="仿宋_GB2312" w:cs="仿宋_GB2312"/>
          <w:sz w:val="32"/>
          <w:szCs w:val="32"/>
        </w:rPr>
        <w:t>栏目集中公开</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楷体_GB2312" w:cs="楷体_GB2312"/>
          <w:sz w:val="32"/>
          <w:szCs w:val="32"/>
        </w:rPr>
      </w:pPr>
      <w:r>
        <w:rPr>
          <w:rFonts w:hint="eastAsia" w:ascii="楷体_GB2312" w:eastAsia="楷体_GB2312" w:cs="楷体_GB2312"/>
          <w:sz w:val="32"/>
          <w:szCs w:val="32"/>
        </w:rPr>
        <w:t>（四）平台建设方面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推进区政府门户网站建设，按照宜春市政府网站集约化平台项目优化统一安排部署，推进适老化改造、留言功能、优化政务版块布局等。完成彬江镇、湛郎街道和居（村）级两级基层政务公开标准化规范化</w:t>
      </w:r>
      <w:r>
        <w:rPr>
          <w:rFonts w:hint="eastAsia" w:ascii="仿宋_GB2312" w:eastAsia="仿宋_GB2312" w:cs="仿宋_GB2312"/>
          <w:sz w:val="32"/>
          <w:szCs w:val="32"/>
        </w:rPr>
        <w:t>“</w:t>
      </w:r>
      <w:r>
        <w:rPr>
          <w:rFonts w:ascii="仿宋_GB2312" w:eastAsia="仿宋_GB2312" w:cs="仿宋_GB2312"/>
          <w:sz w:val="32"/>
          <w:szCs w:val="32"/>
        </w:rPr>
        <w:t>十县百乡</w:t>
      </w:r>
      <w:r>
        <w:rPr>
          <w:rFonts w:hint="eastAsia" w:ascii="仿宋_GB2312" w:eastAsia="仿宋_GB2312" w:cs="仿宋_GB2312"/>
          <w:sz w:val="32"/>
          <w:szCs w:val="32"/>
        </w:rPr>
        <w:t>”</w:t>
      </w:r>
      <w:r>
        <w:rPr>
          <w:rFonts w:ascii="仿宋_GB2312" w:eastAsia="仿宋_GB2312" w:cs="仿宋_GB2312"/>
          <w:sz w:val="32"/>
          <w:szCs w:val="32"/>
        </w:rPr>
        <w:t>试点建设。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楷体_GB2312" w:cs="楷体_GB2312"/>
          <w:sz w:val="32"/>
          <w:szCs w:val="32"/>
        </w:rPr>
      </w:pPr>
      <w:r>
        <w:rPr>
          <w:rFonts w:hint="eastAsia" w:ascii="楷体_GB2312" w:eastAsia="楷体_GB2312" w:cs="楷体_GB2312"/>
          <w:sz w:val="32"/>
          <w:szCs w:val="32"/>
        </w:rPr>
        <w:t>（五）监督保障方面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印发《202</w:t>
      </w:r>
      <w:r>
        <w:rPr>
          <w:rFonts w:ascii="仿宋_GB2312" w:eastAsia="仿宋_GB2312" w:cs="仿宋_GB2312"/>
          <w:sz w:val="32"/>
          <w:szCs w:val="32"/>
        </w:rPr>
        <w:t>2</w:t>
      </w:r>
      <w:r>
        <w:rPr>
          <w:rFonts w:hint="eastAsia" w:ascii="仿宋_GB2312" w:eastAsia="仿宋_GB2312" w:cs="仿宋_GB2312"/>
          <w:sz w:val="32"/>
          <w:szCs w:val="32"/>
        </w:rPr>
        <w:t>年袁州区政务公开工作要点》</w:t>
      </w:r>
      <w:r>
        <w:rPr>
          <w:rFonts w:ascii="仿宋_GB2312" w:eastAsia="仿宋_GB2312" w:cs="仿宋_GB2312"/>
          <w:sz w:val="32"/>
          <w:szCs w:val="32"/>
        </w:rPr>
        <w:t>（袁府办字〔2022〕36号）</w:t>
      </w:r>
      <w:r>
        <w:rPr>
          <w:rFonts w:hint="eastAsia" w:ascii="仿宋_GB2312" w:eastAsia="仿宋_GB2312" w:cs="仿宋_GB2312"/>
          <w:sz w:val="32"/>
          <w:szCs w:val="32"/>
        </w:rPr>
        <w:t>，明确202</w:t>
      </w:r>
      <w:r>
        <w:rPr>
          <w:rFonts w:ascii="仿宋_GB2312" w:eastAsia="仿宋_GB2312" w:cs="仿宋_GB2312"/>
          <w:sz w:val="32"/>
          <w:szCs w:val="32"/>
        </w:rPr>
        <w:t>2</w:t>
      </w:r>
      <w:r>
        <w:rPr>
          <w:rFonts w:hint="eastAsia" w:ascii="仿宋_GB2312" w:eastAsia="仿宋_GB2312" w:cs="仿宋_GB2312"/>
          <w:sz w:val="32"/>
          <w:szCs w:val="32"/>
        </w:rPr>
        <w:t>年度重点目标和工作任务。</w:t>
      </w:r>
      <w:r>
        <w:rPr>
          <w:rFonts w:hint="eastAsia" w:ascii="仿宋_GB2312" w:eastAsia="仿宋_GB2312" w:cs="仿宋_GB2312"/>
          <w:sz w:val="32"/>
          <w:szCs w:val="32"/>
          <w:lang w:eastAsia="zh-CN"/>
        </w:rPr>
        <w:t>对重大错误频发、频繁出错的部门单位重点指导、重点关注、重点核查</w:t>
      </w:r>
      <w:r>
        <w:rPr>
          <w:rFonts w:hint="eastAsia" w:ascii="仿宋_GB2312" w:eastAsia="仿宋_GB2312" w:cs="仿宋_GB2312"/>
          <w:sz w:val="32"/>
          <w:szCs w:val="32"/>
        </w:rPr>
        <w:t>。</w:t>
      </w:r>
      <w:r>
        <w:rPr>
          <w:rFonts w:ascii="仿宋_GB2312" w:eastAsia="仿宋_GB2312" w:cs="仿宋_GB2312"/>
          <w:sz w:val="32"/>
          <w:szCs w:val="32"/>
        </w:rPr>
        <w:t>强化监督检查与考核评估，社会评议结果、年度政务公开考核指标和考核结果及时向社会公开，接受社会监督。以季度通报为抓手，结合日常业务培训指导、问题清单定向整改、专项工作进展情况通报等手段，切实提升全区政务公开工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lang w:val="en-US" w:eastAsia="zh-CN"/>
        </w:rPr>
      </w:pPr>
      <w:r>
        <w:rPr>
          <w:rFonts w:hint="eastAsia" w:ascii="仿宋_GB2312" w:eastAsia="仿宋_GB2312" w:cs="仿宋_GB2312"/>
          <w:sz w:val="32"/>
          <w:szCs w:val="32"/>
        </w:rPr>
        <w:t>参照全市“结对子找错误”活动，固定每周开展一次集中找错集中整改活动，每周三前相互找错，每周五前收集整改，</w:t>
      </w:r>
      <w:r>
        <w:rPr>
          <w:rFonts w:hint="eastAsia" w:ascii="仿宋_GB2312" w:eastAsia="仿宋_GB2312" w:cs="仿宋_GB2312"/>
          <w:sz w:val="32"/>
          <w:szCs w:val="32"/>
          <w:lang w:eastAsia="zh-CN"/>
        </w:rPr>
        <w:t>截至</w:t>
      </w:r>
      <w:r>
        <w:rPr>
          <w:rFonts w:hint="eastAsia" w:ascii="仿宋_GB2312" w:eastAsia="仿宋_GB2312" w:cs="仿宋_GB2312"/>
          <w:sz w:val="32"/>
          <w:szCs w:val="32"/>
          <w:lang w:val="en-US" w:eastAsia="zh-CN"/>
        </w:rPr>
        <w:t>12月底</w:t>
      </w:r>
      <w:r>
        <w:rPr>
          <w:rFonts w:hint="eastAsia" w:ascii="仿宋_GB2312" w:eastAsia="仿宋_GB2312" w:cs="仿宋_GB2312"/>
          <w:sz w:val="32"/>
          <w:szCs w:val="32"/>
          <w:lang w:eastAsia="zh-CN"/>
        </w:rPr>
        <w:t>，共互相找错</w:t>
      </w:r>
      <w:r>
        <w:rPr>
          <w:rFonts w:hint="eastAsia" w:ascii="仿宋_GB2312" w:eastAsia="仿宋_GB2312" w:cs="仿宋_GB2312"/>
          <w:sz w:val="32"/>
          <w:szCs w:val="32"/>
          <w:lang w:val="en-US" w:eastAsia="zh-CN"/>
        </w:rPr>
        <w:t>366次，整改完成率100%。</w:t>
      </w:r>
      <w:r>
        <w:rPr>
          <w:rFonts w:hint="eastAsia" w:ascii="仿宋_GB2312" w:eastAsia="仿宋_GB2312" w:cs="仿宋_GB2312"/>
          <w:sz w:val="32"/>
          <w:szCs w:val="32"/>
          <w:lang w:eastAsia="zh-CN"/>
        </w:rPr>
        <w:t>把</w:t>
      </w:r>
      <w:r>
        <w:rPr>
          <w:rFonts w:hint="eastAsia" w:ascii="仿宋_GB2312" w:eastAsia="仿宋_GB2312" w:cs="仿宋_GB2312"/>
          <w:sz w:val="32"/>
          <w:szCs w:val="32"/>
        </w:rPr>
        <w:t>栏目优化</w:t>
      </w:r>
      <w:r>
        <w:rPr>
          <w:rFonts w:hint="eastAsia" w:ascii="仿宋_GB2312" w:eastAsia="仿宋_GB2312" w:cs="仿宋_GB2312"/>
          <w:sz w:val="32"/>
          <w:szCs w:val="32"/>
          <w:lang w:eastAsia="zh-CN"/>
        </w:rPr>
        <w:t>运营</w:t>
      </w:r>
      <w:r>
        <w:rPr>
          <w:rFonts w:hint="eastAsia" w:ascii="仿宋_GB2312" w:eastAsia="仿宋_GB2312" w:cs="仿宋_GB2312"/>
          <w:sz w:val="32"/>
          <w:szCs w:val="32"/>
        </w:rPr>
        <w:t>、解读形式等列为查找重点，</w:t>
      </w:r>
      <w:r>
        <w:rPr>
          <w:rFonts w:hint="eastAsia" w:ascii="仿宋_GB2312" w:eastAsia="仿宋_GB2312" w:cs="仿宋_GB2312"/>
          <w:sz w:val="32"/>
          <w:szCs w:val="32"/>
          <w:lang w:eastAsia="zh-CN"/>
        </w:rPr>
        <w:t>要求以政府（办）名义发文的拟草部门，提交《袁州区行政机关公文公开发布意见单》及采用多元化方式解读的解读材料，</w:t>
      </w:r>
      <w:r>
        <w:rPr>
          <w:rFonts w:hint="eastAsia" w:ascii="仿宋_GB2312" w:eastAsia="仿宋_GB2312" w:cs="仿宋_GB2312"/>
          <w:sz w:val="32"/>
          <w:szCs w:val="32"/>
        </w:rPr>
        <w:t>并</w:t>
      </w:r>
      <w:r>
        <w:rPr>
          <w:rFonts w:hint="eastAsia" w:ascii="仿宋_GB2312" w:eastAsia="仿宋_GB2312" w:cs="仿宋_GB2312"/>
          <w:sz w:val="32"/>
          <w:szCs w:val="32"/>
          <w:lang w:eastAsia="zh-CN"/>
        </w:rPr>
        <w:t>将此项工作</w:t>
      </w:r>
      <w:r>
        <w:rPr>
          <w:rFonts w:hint="eastAsia" w:ascii="仿宋_GB2312" w:eastAsia="仿宋_GB2312" w:cs="仿宋_GB2312"/>
          <w:sz w:val="32"/>
          <w:szCs w:val="32"/>
        </w:rPr>
        <w:t>列入</w:t>
      </w:r>
      <w:r>
        <w:rPr>
          <w:rFonts w:hint="eastAsia" w:ascii="仿宋_GB2312" w:eastAsia="仿宋_GB2312" w:cs="仿宋_GB2312"/>
          <w:sz w:val="32"/>
          <w:szCs w:val="32"/>
          <w:lang w:eastAsia="zh-CN"/>
        </w:rPr>
        <w:t>年度</w:t>
      </w:r>
      <w:r>
        <w:rPr>
          <w:rFonts w:hint="eastAsia" w:ascii="仿宋_GB2312" w:eastAsia="仿宋_GB2312" w:cs="仿宋_GB2312"/>
          <w:sz w:val="32"/>
          <w:szCs w:val="32"/>
        </w:rPr>
        <w:t>日常</w:t>
      </w:r>
      <w:r>
        <w:rPr>
          <w:rFonts w:hint="eastAsia" w:ascii="仿宋_GB2312" w:eastAsia="仿宋_GB2312" w:cs="仿宋_GB2312"/>
          <w:sz w:val="32"/>
          <w:szCs w:val="32"/>
          <w:lang w:eastAsia="zh-CN"/>
        </w:rPr>
        <w:t>核查</w:t>
      </w:r>
      <w:r>
        <w:rPr>
          <w:rFonts w:hint="eastAsia" w:ascii="仿宋_GB2312" w:eastAsia="仿宋_GB2312" w:cs="仿宋_GB2312"/>
          <w:sz w:val="32"/>
          <w:szCs w:val="32"/>
        </w:rPr>
        <w:t>内容。</w:t>
      </w:r>
    </w:p>
    <w:p>
      <w:pPr>
        <w:keepNext w:val="0"/>
        <w:keepLines w:val="0"/>
        <w:pageBreakBefore w:val="0"/>
        <w:widowControl w:val="0"/>
        <w:kinsoku/>
        <w:wordWrap/>
        <w:overflowPunct/>
        <w:topLinePunct w:val="0"/>
        <w:autoSpaceDE/>
        <w:autoSpaceDN/>
        <w:adjustRightInd/>
        <w:snapToGrid/>
        <w:spacing w:line="600" w:lineRule="exact"/>
        <w:ind w:firstLine="640" w:firstLineChars="200"/>
        <w:rPr>
          <w:rFonts w:ascii="黑体" w:eastAsia="黑体" w:cs="黑体"/>
          <w:sz w:val="32"/>
          <w:szCs w:val="32"/>
        </w:rPr>
      </w:pPr>
      <w:r>
        <w:rPr>
          <w:rFonts w:hint="eastAsia" w:ascii="黑体" w:eastAsia="黑体" w:cs="黑体"/>
          <w:sz w:val="32"/>
          <w:szCs w:val="32"/>
        </w:rPr>
        <w:t>二、主动公开政府信息情况</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0"/>
        <w:gridCol w:w="2070"/>
        <w:gridCol w:w="2070"/>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280"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sz w:val="24"/>
              </w:rPr>
            </w:pPr>
            <w:r>
              <w:rPr>
                <w:rFonts w:ascii="仿宋_GB2312" w:eastAsia="仿宋_GB2312"/>
                <w:sz w:val="24"/>
              </w:rPr>
              <w:t>信息内容</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sz w:val="24"/>
              </w:rPr>
            </w:pPr>
            <w:r>
              <w:rPr>
                <w:rFonts w:ascii="仿宋_GB2312" w:eastAsia="仿宋_GB2312"/>
                <w:sz w:val="24"/>
              </w:rPr>
              <w:t>本年制发件数</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sz w:val="24"/>
              </w:rPr>
            </w:pPr>
            <w:r>
              <w:rPr>
                <w:rFonts w:ascii="仿宋_GB2312" w:eastAsia="仿宋_GB2312"/>
                <w:sz w:val="24"/>
              </w:rPr>
              <w:t>本年废止件数</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sz w:val="24"/>
              </w:rPr>
            </w:pPr>
            <w:r>
              <w:rPr>
                <w:rFonts w:ascii="仿宋_GB2312" w:eastAsia="仿宋_GB2312"/>
                <w:sz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规章</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行政规范性文件</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48</w:t>
            </w:r>
          </w:p>
        </w:tc>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280"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信息内容</w:t>
            </w:r>
          </w:p>
        </w:tc>
        <w:tc>
          <w:tcPr>
            <w:tcW w:w="621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行政许可</w:t>
            </w:r>
          </w:p>
        </w:tc>
        <w:tc>
          <w:tcPr>
            <w:tcW w:w="621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31737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280"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信息内容</w:t>
            </w:r>
          </w:p>
        </w:tc>
        <w:tc>
          <w:tcPr>
            <w:tcW w:w="621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行政处罚</w:t>
            </w:r>
          </w:p>
        </w:tc>
        <w:tc>
          <w:tcPr>
            <w:tcW w:w="621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行政强制</w:t>
            </w:r>
          </w:p>
        </w:tc>
        <w:tc>
          <w:tcPr>
            <w:tcW w:w="621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280"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信息内容</w:t>
            </w:r>
          </w:p>
        </w:tc>
        <w:tc>
          <w:tcPr>
            <w:tcW w:w="621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207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行政事业性收费</w:t>
            </w:r>
          </w:p>
        </w:tc>
        <w:tc>
          <w:tcPr>
            <w:tcW w:w="621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4590.31</w:t>
            </w:r>
          </w:p>
        </w:tc>
      </w:tr>
    </w:tbl>
    <w:p>
      <w:pPr>
        <w:keepNext w:val="0"/>
        <w:keepLines w:val="0"/>
        <w:pageBreakBefore w:val="0"/>
        <w:widowControl w:val="0"/>
        <w:kinsoku/>
        <w:wordWrap/>
        <w:overflowPunct/>
        <w:topLinePunct w:val="0"/>
        <w:autoSpaceDE/>
        <w:autoSpaceDN/>
        <w:adjustRightInd/>
        <w:snapToGrid/>
        <w:spacing w:line="600" w:lineRule="exact"/>
        <w:ind w:left="0"/>
        <w:rPr>
          <w:rFonts w:ascii="仿宋_GB2312" w:eastAsia="仿宋_GB2312" w:cs="仿宋_GB2312"/>
          <w:sz w:val="32"/>
          <w:szCs w:val="32"/>
        </w:rPr>
      </w:pPr>
    </w:p>
    <w:p>
      <w:pPr>
        <w:rPr>
          <w:rFonts w:ascii="黑体" w:eastAsia="黑体" w:cs="黑体"/>
          <w:bCs/>
          <w:sz w:val="32"/>
          <w:szCs w:val="32"/>
        </w:rPr>
      </w:pPr>
      <w:r>
        <w:rPr>
          <w:rFonts w:ascii="黑体" w:eastAsia="黑体" w:cs="黑体"/>
          <w:bCs/>
          <w:sz w:val="32"/>
          <w:szCs w:val="32"/>
        </w:rPr>
        <w:br w:type="page"/>
      </w:r>
    </w:p>
    <w:p>
      <w:pPr>
        <w:keepNext w:val="0"/>
        <w:keepLines w:val="0"/>
        <w:pageBreakBefore w:val="0"/>
        <w:widowControl w:val="0"/>
        <w:kinsoku/>
        <w:wordWrap/>
        <w:overflowPunct/>
        <w:topLinePunct w:val="0"/>
        <w:autoSpaceDE/>
        <w:autoSpaceDN/>
        <w:adjustRightInd/>
        <w:snapToGrid/>
        <w:spacing w:line="600" w:lineRule="exact"/>
        <w:ind w:firstLine="640" w:firstLineChars="200"/>
        <w:rPr>
          <w:rFonts w:ascii="黑体" w:eastAsia="黑体" w:cs="黑体"/>
          <w:bCs/>
          <w:sz w:val="32"/>
          <w:szCs w:val="32"/>
        </w:rPr>
      </w:pPr>
      <w:r>
        <w:rPr>
          <w:rFonts w:hint="eastAsia" w:ascii="黑体" w:eastAsia="黑体" w:cs="黑体"/>
          <w:bCs/>
          <w:sz w:val="32"/>
          <w:szCs w:val="32"/>
        </w:rPr>
        <w:t>三、收到和处理政府信息公开申请情况</w:t>
      </w:r>
    </w:p>
    <w:tbl>
      <w:tblPr>
        <w:tblStyle w:val="9"/>
        <w:tblW w:w="8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1"/>
        <w:gridCol w:w="846"/>
        <w:gridCol w:w="1982"/>
        <w:gridCol w:w="504"/>
        <w:gridCol w:w="803"/>
        <w:gridCol w:w="728"/>
        <w:gridCol w:w="921"/>
        <w:gridCol w:w="782"/>
        <w:gridCol w:w="505"/>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3449" w:type="dxa"/>
            <w:gridSpan w:val="3"/>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（本列数据的勾稽关系为：第一项加第二项之和，等于第三项加第四项之和）</w:t>
            </w:r>
          </w:p>
        </w:tc>
        <w:tc>
          <w:tcPr>
            <w:tcW w:w="4812"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4200" w:type="dxa"/>
            <w:gridSpan w:val="3"/>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504"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自然人</w:t>
            </w:r>
          </w:p>
        </w:tc>
        <w:tc>
          <w:tcPr>
            <w:tcW w:w="3739"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法人或其他组织</w:t>
            </w:r>
          </w:p>
        </w:tc>
        <w:tc>
          <w:tcPr>
            <w:tcW w:w="568"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jc w:val="center"/>
        </w:trPr>
        <w:tc>
          <w:tcPr>
            <w:tcW w:w="4200" w:type="dxa"/>
            <w:gridSpan w:val="3"/>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690"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商业企业</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科研机构</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社会公益组织</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法律服务机构</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其他</w:t>
            </w:r>
          </w:p>
        </w:tc>
        <w:tc>
          <w:tcPr>
            <w:tcW w:w="70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344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一、本年新收政府信息公开申请数量</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46</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344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二、上年结转政府信息公开申请数量</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621"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三、本年度办理结果</w:t>
            </w:r>
          </w:p>
        </w:tc>
        <w:tc>
          <w:tcPr>
            <w:tcW w:w="2828"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（一）予以公开</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43</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2828"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（二）部分公开（区分处理的，只计这一情形，不计其他情形）</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846"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（三）不予公开</w:t>
            </w: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1.属于国家秘密</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2.其他法律行政法规禁止公开</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3.危</w:t>
            </w:r>
            <w:r>
              <w:rPr>
                <w:rFonts w:ascii="仿宋_GB2312" w:eastAsia="仿宋_GB2312"/>
                <w:sz w:val="24"/>
              </w:rPr>
              <w:t>及</w:t>
            </w:r>
            <w:r>
              <w:rPr>
                <w:rFonts w:hint="eastAsia" w:ascii="仿宋_GB2312" w:eastAsia="仿宋_GB2312"/>
                <w:sz w:val="24"/>
              </w:rPr>
              <w:t>“</w:t>
            </w:r>
            <w:r>
              <w:rPr>
                <w:rFonts w:ascii="仿宋_GB2312" w:eastAsia="仿宋_GB2312"/>
                <w:sz w:val="24"/>
              </w:rPr>
              <w:t>三安全一稳</w:t>
            </w:r>
            <w:r>
              <w:rPr>
                <w:rFonts w:ascii="仿宋_GB2312" w:eastAsia="仿宋_GB2312"/>
                <w:b w:val="0"/>
                <w:i w:val="0"/>
                <w:color w:val="auto"/>
                <w:sz w:val="24"/>
              </w:rPr>
              <w:t>定</w:t>
            </w:r>
            <w:r>
              <w:rPr>
                <w:rFonts w:hint="eastAsia" w:ascii="仿宋_GB2312" w:eastAsia="仿宋_GB2312"/>
                <w:sz w:val="24"/>
              </w:rPr>
              <w:t>”</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4.保护第三方合法权益</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5.属于三类内部事务信息</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6.属于四类过程性信息</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7.属于行政执法案卷</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8.属于行政查询事项</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846"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（四）无法提供</w:t>
            </w: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1.本机关不掌握相关政府信息</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3</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2.没有现成信息需要另行制作</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3.补正后申请内容仍不明确</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621"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三、本年度办理结果</w:t>
            </w:r>
          </w:p>
        </w:tc>
        <w:tc>
          <w:tcPr>
            <w:tcW w:w="846"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（五）不予处理</w:t>
            </w: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1.信访举报投诉类申请</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2.重复申请</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3.要求提供公开出版物</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4.无正当理由大量反复申请</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5.要求行政机关确认或重新出具已获取信息</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6"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846"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（六）其他处理</w:t>
            </w: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1.申请人无正当理由逾期不补正、行政机关不再处理其政府信息公开申请</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9"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2.申请人逾期未按收费通知要求缴纳费用、行政机关不再处理其政府信息公开申请</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21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19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3.其他</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855"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2828"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（七）总计</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47</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2</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344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仿宋_GB2312" w:eastAsia="仿宋_GB2312"/>
                <w:b w:val="0"/>
                <w:i w:val="0"/>
                <w:color w:val="auto"/>
                <w:sz w:val="24"/>
              </w:rPr>
            </w:pPr>
            <w:r>
              <w:rPr>
                <w:rFonts w:ascii="仿宋_GB2312" w:eastAsia="仿宋_GB2312"/>
                <w:b w:val="0"/>
                <w:i w:val="0"/>
                <w:color w:val="auto"/>
                <w:sz w:val="24"/>
              </w:rPr>
              <w:t>四、结转下年度继续办理</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8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2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92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782"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bl>
    <w:p>
      <w:pPr>
        <w:keepNext w:val="0"/>
        <w:keepLines w:val="0"/>
        <w:pageBreakBefore w:val="0"/>
        <w:widowControl w:val="0"/>
        <w:kinsoku/>
        <w:wordWrap/>
        <w:overflowPunct/>
        <w:topLinePunct w:val="0"/>
        <w:autoSpaceDE/>
        <w:autoSpaceDN/>
        <w:adjustRightInd/>
        <w:snapToGrid/>
        <w:spacing w:line="600" w:lineRule="exact"/>
        <w:ind w:left="0"/>
        <w:rPr>
          <w:rFonts w:ascii="仿宋_GB2312" w:eastAsia="仿宋_GB2312" w:cs="仿宋_GB2312"/>
          <w:sz w:val="32"/>
          <w:szCs w:val="32"/>
        </w:rPr>
      </w:pPr>
    </w:p>
    <w:p>
      <w:pPr>
        <w:keepNext w:val="0"/>
        <w:keepLines w:val="0"/>
        <w:pageBreakBefore w:val="0"/>
        <w:widowControl w:val="0"/>
        <w:kinsoku/>
        <w:wordWrap/>
        <w:overflowPunct/>
        <w:topLinePunct w:val="0"/>
        <w:autoSpaceDE/>
        <w:autoSpaceDN/>
        <w:adjustRightInd/>
        <w:snapToGrid/>
        <w:spacing w:line="600" w:lineRule="exact"/>
        <w:ind w:firstLine="640" w:firstLineChars="200"/>
        <w:rPr>
          <w:rFonts w:hint="eastAsia" w:ascii="黑体" w:eastAsia="黑体" w:cs="黑体"/>
          <w:sz w:val="32"/>
          <w:szCs w:val="32"/>
        </w:rPr>
      </w:pPr>
      <w:r>
        <w:rPr>
          <w:rFonts w:hint="eastAsia" w:ascii="黑体" w:eastAsia="黑体" w:cs="黑体"/>
          <w:bCs/>
          <w:sz w:val="32"/>
          <w:szCs w:val="32"/>
        </w:rPr>
        <w:t>四、政府信息公开行政复议、行政诉讼情况</w:t>
      </w:r>
    </w:p>
    <w:tbl>
      <w:tblPr>
        <w:tblStyle w:val="9"/>
        <w:tblW w:w="80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4"/>
        <w:gridCol w:w="557"/>
        <w:gridCol w:w="563"/>
        <w:gridCol w:w="553"/>
        <w:gridCol w:w="413"/>
        <w:gridCol w:w="553"/>
        <w:gridCol w:w="553"/>
        <w:gridCol w:w="553"/>
        <w:gridCol w:w="553"/>
        <w:gridCol w:w="413"/>
        <w:gridCol w:w="553"/>
        <w:gridCol w:w="553"/>
        <w:gridCol w:w="553"/>
        <w:gridCol w:w="553"/>
        <w:gridCol w:w="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740"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行政复议</w:t>
            </w:r>
          </w:p>
        </w:tc>
        <w:tc>
          <w:tcPr>
            <w:tcW w:w="524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654"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结果维持</w:t>
            </w:r>
          </w:p>
        </w:tc>
        <w:tc>
          <w:tcPr>
            <w:tcW w:w="55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结果纠正</w:t>
            </w:r>
          </w:p>
        </w:tc>
        <w:tc>
          <w:tcPr>
            <w:tcW w:w="56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其他结果</w:t>
            </w:r>
          </w:p>
        </w:tc>
        <w:tc>
          <w:tcPr>
            <w:tcW w:w="5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尚未审结</w:t>
            </w:r>
          </w:p>
        </w:tc>
        <w:tc>
          <w:tcPr>
            <w:tcW w:w="41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总计</w:t>
            </w:r>
          </w:p>
        </w:tc>
        <w:tc>
          <w:tcPr>
            <w:tcW w:w="2624"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未经复议直接起诉</w:t>
            </w:r>
          </w:p>
        </w:tc>
        <w:tc>
          <w:tcPr>
            <w:tcW w:w="2624"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9" w:hRule="atLeast"/>
          <w:jc w:val="center"/>
        </w:trPr>
        <w:tc>
          <w:tcPr>
            <w:tcW w:w="610"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610"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610"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610"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361"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结果维持</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结果纠正</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其他结果</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尚未审结</w:t>
            </w:r>
          </w:p>
        </w:tc>
        <w:tc>
          <w:tcPr>
            <w:tcW w:w="4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总计</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结果维持</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结果纠正</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其他结果</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尚未审结</w:t>
            </w:r>
          </w:p>
        </w:tc>
        <w:tc>
          <w:tcPr>
            <w:tcW w:w="4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9" w:hRule="atLeast"/>
          <w:jc w:val="center"/>
        </w:trPr>
        <w:tc>
          <w:tcPr>
            <w:tcW w:w="654"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57"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6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4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4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1</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5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c>
          <w:tcPr>
            <w:tcW w:w="41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仿宋_GB2312" w:eastAsia="仿宋_GB2312"/>
                <w:b w:val="0"/>
                <w:i w:val="0"/>
                <w:color w:val="auto"/>
                <w:sz w:val="24"/>
              </w:rPr>
            </w:pPr>
            <w:r>
              <w:rPr>
                <w:rFonts w:ascii="仿宋_GB2312" w:eastAsia="仿宋_GB2312"/>
                <w:b w:val="0"/>
                <w:i w:val="0"/>
                <w:color w:val="auto"/>
                <w:sz w:val="24"/>
              </w:rPr>
              <w:t>0</w:t>
            </w:r>
          </w:p>
        </w:tc>
      </w:tr>
    </w:tbl>
    <w:p>
      <w:pPr>
        <w:keepNext w:val="0"/>
        <w:keepLines w:val="0"/>
        <w:pageBreakBefore w:val="0"/>
        <w:widowControl w:val="0"/>
        <w:kinsoku/>
        <w:wordWrap/>
        <w:overflowPunct/>
        <w:topLinePunct w:val="0"/>
        <w:autoSpaceDE/>
        <w:autoSpaceDN/>
        <w:adjustRightInd/>
        <w:snapToGrid/>
        <w:spacing w:line="600" w:lineRule="exact"/>
        <w:ind w:left="0"/>
        <w:rPr>
          <w:rFonts w:ascii="仿宋_GB2312" w:eastAsia="仿宋_GB2312" w:cs="仿宋_GB2312"/>
          <w:sz w:val="32"/>
          <w:szCs w:val="32"/>
        </w:rPr>
      </w:pP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ascii="黑体" w:eastAsia="黑体" w:cs="黑体"/>
          <w:sz w:val="32"/>
          <w:szCs w:val="32"/>
        </w:rPr>
      </w:pPr>
      <w:r>
        <w:rPr>
          <w:rFonts w:hint="eastAsia" w:ascii="黑体" w:eastAsia="黑体" w:cs="黑体"/>
          <w:sz w:val="32"/>
          <w:szCs w:val="32"/>
        </w:rPr>
        <w:t>五、存在的主要问题及改进情况</w:t>
      </w:r>
    </w:p>
    <w:p>
      <w:pPr>
        <w:keepNext w:val="0"/>
        <w:keepLines w:val="0"/>
        <w:widowControl/>
        <w:suppressLineNumbers w:val="0"/>
        <w:ind w:firstLine="640" w:firstLineChars="200"/>
        <w:jc w:val="left"/>
      </w:pPr>
      <w:r>
        <w:rPr>
          <w:rFonts w:ascii="仿宋_GB2312" w:hAnsi="宋体" w:eastAsia="仿宋_GB2312" w:cs="仿宋_GB2312"/>
          <w:kern w:val="0"/>
          <w:sz w:val="32"/>
          <w:szCs w:val="32"/>
          <w:lang w:val="en-US" w:eastAsia="zh-CN" w:bidi="ar"/>
        </w:rPr>
        <w:t>202</w:t>
      </w:r>
      <w:r>
        <w:rPr>
          <w:rFonts w:hint="eastAsia" w:ascii="仿宋_GB2312" w:hAnsi="宋体" w:eastAsia="仿宋_GB2312" w:cs="仿宋_GB2312"/>
          <w:kern w:val="0"/>
          <w:sz w:val="32"/>
          <w:szCs w:val="32"/>
          <w:lang w:val="en-US" w:eastAsia="zh-CN" w:bidi="ar"/>
        </w:rPr>
        <w:t>2年，我区在推进政务公开上虽然做了大量工作，取得了一些进步和成绩，但在具体落实过程中还存在一些问题：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楷体_GB2312" w:eastAsia="楷体_GB2312" w:cs="楷体_GB2312"/>
          <w:sz w:val="32"/>
          <w:szCs w:val="32"/>
        </w:rPr>
        <w:t>（一）重视不够和专人匮乏是制约工作推进的“难点”。</w:t>
      </w:r>
      <w:r>
        <w:rPr>
          <w:rFonts w:hint="eastAsia" w:ascii="仿宋_GB2312" w:eastAsia="仿宋_GB2312" w:cs="仿宋_GB2312"/>
          <w:sz w:val="32"/>
          <w:szCs w:val="32"/>
        </w:rPr>
        <w:t>绝大多数区直单位、乡镇</w:t>
      </w:r>
      <w:r>
        <w:rPr>
          <w:rFonts w:hint="eastAsia" w:ascii="仿宋_GB2312" w:eastAsia="仿宋_GB2312" w:cs="仿宋_GB2312"/>
          <w:sz w:val="32"/>
          <w:szCs w:val="32"/>
          <w:lang w:eastAsia="zh-CN"/>
        </w:rPr>
        <w:t>、</w:t>
      </w:r>
      <w:r>
        <w:rPr>
          <w:rFonts w:hint="eastAsia" w:ascii="仿宋_GB2312" w:eastAsia="仿宋_GB2312" w:cs="仿宋_GB2312"/>
          <w:sz w:val="32"/>
          <w:szCs w:val="32"/>
        </w:rPr>
        <w:t>街道</w:t>
      </w:r>
      <w:r>
        <w:rPr>
          <w:rFonts w:hint="eastAsia" w:ascii="仿宋_GB2312" w:eastAsia="仿宋_GB2312" w:cs="仿宋_GB2312"/>
          <w:sz w:val="32"/>
          <w:szCs w:val="32"/>
          <w:lang w:eastAsia="zh-CN"/>
        </w:rPr>
        <w:t>政务</w:t>
      </w:r>
      <w:r>
        <w:rPr>
          <w:rFonts w:hint="eastAsia" w:ascii="仿宋_GB2312" w:eastAsia="仿宋_GB2312" w:cs="仿宋_GB2312"/>
          <w:sz w:val="32"/>
          <w:szCs w:val="32"/>
        </w:rPr>
        <w:t>公开工作人员身兼数职，岗位变动频繁，加上业务水平参差不齐，部分单位抓工作常常难以跟上步伐，使得基层政务公开高质量推进有难度。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楷体_GB2312" w:eastAsia="楷体_GB2312" w:cs="楷体_GB2312"/>
          <w:sz w:val="32"/>
          <w:szCs w:val="32"/>
        </w:rPr>
        <w:t>（</w:t>
      </w:r>
      <w:r>
        <w:rPr>
          <w:rFonts w:ascii="楷体_GB2312" w:eastAsia="楷体_GB2312" w:cs="楷体_GB2312"/>
          <w:sz w:val="32"/>
          <w:szCs w:val="32"/>
        </w:rPr>
        <w:t>二</w:t>
      </w:r>
      <w:r>
        <w:rPr>
          <w:rFonts w:hint="eastAsia" w:ascii="楷体_GB2312" w:eastAsia="楷体_GB2312" w:cs="楷体_GB2312"/>
          <w:sz w:val="32"/>
          <w:szCs w:val="32"/>
        </w:rPr>
        <w:t xml:space="preserve">）资金投入不足是限制工作创新的“痛点”。 </w:t>
      </w:r>
      <w:r>
        <w:rPr>
          <w:rFonts w:hint="eastAsia" w:ascii="仿宋_GB2312" w:eastAsia="仿宋_GB2312" w:cs="仿宋_GB2312"/>
          <w:sz w:val="32"/>
          <w:szCs w:val="32"/>
        </w:rPr>
        <w:t>当前仅聘请了第三方评估公司对政府门户网站和政务新媒体进行监测，对比先进地市的“十县百乡”试点县、试点乡镇建设，线下公开专区、线上集约化改造和第三方全面监测评估投入都远超我区，打通基层政务公开标准化规范化向乡镇</w:t>
      </w:r>
      <w:r>
        <w:rPr>
          <w:rFonts w:hint="eastAsia" w:ascii="仿宋_GB2312" w:eastAsia="仿宋_GB2312" w:cs="仿宋_GB2312"/>
          <w:sz w:val="32"/>
          <w:szCs w:val="32"/>
          <w:lang w:eastAsia="zh-CN"/>
        </w:rPr>
        <w:t>、</w:t>
      </w:r>
      <w:r>
        <w:rPr>
          <w:rFonts w:hint="eastAsia" w:ascii="仿宋_GB2312" w:eastAsia="仿宋_GB2312" w:cs="仿宋_GB2312"/>
          <w:sz w:val="32"/>
          <w:szCs w:val="32"/>
        </w:rPr>
        <w:t>街道和村</w:t>
      </w:r>
      <w:r>
        <w:rPr>
          <w:rFonts w:hint="eastAsia" w:ascii="仿宋_GB2312" w:eastAsia="仿宋_GB2312" w:cs="仿宋_GB2312"/>
          <w:sz w:val="32"/>
          <w:szCs w:val="32"/>
          <w:lang w:eastAsia="zh-CN"/>
        </w:rPr>
        <w:t>、</w:t>
      </w:r>
      <w:r>
        <w:rPr>
          <w:rFonts w:hint="eastAsia" w:ascii="仿宋_GB2312" w:eastAsia="仿宋_GB2312" w:cs="仿宋_GB2312"/>
          <w:sz w:val="32"/>
          <w:szCs w:val="32"/>
        </w:rPr>
        <w:t>居延伸“最后一公里”有压力。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楷体_GB2312" w:eastAsia="楷体_GB2312" w:cs="楷体_GB2312"/>
          <w:sz w:val="32"/>
          <w:szCs w:val="32"/>
        </w:rPr>
        <w:t>（</w:t>
      </w:r>
      <w:r>
        <w:rPr>
          <w:rFonts w:ascii="楷体_GB2312" w:eastAsia="楷体_GB2312" w:cs="楷体_GB2312"/>
          <w:sz w:val="32"/>
          <w:szCs w:val="32"/>
        </w:rPr>
        <w:t>三</w:t>
      </w:r>
      <w:r>
        <w:rPr>
          <w:rFonts w:hint="eastAsia" w:ascii="楷体_GB2312" w:eastAsia="楷体_GB2312" w:cs="楷体_GB2312"/>
          <w:sz w:val="32"/>
          <w:szCs w:val="32"/>
        </w:rPr>
        <w:t>）政务公开与政务服务融合不高是束缚工作实效的“堵点”。</w:t>
      </w:r>
      <w:r>
        <w:rPr>
          <w:rFonts w:hint="eastAsia" w:ascii="仿宋_GB2312" w:eastAsia="仿宋_GB2312" w:cs="仿宋_GB2312"/>
          <w:sz w:val="32"/>
          <w:szCs w:val="32"/>
        </w:rPr>
        <w:t>针对国办、省重点工作任务要求“围绕优化营商环境加强政务信息公开，提高政务服务透明度便利度”，实际工作中，大部分单位将政务公开与政务服务割裂开来，不能有效统筹，提升公开实效和服务水平有阻力。</w:t>
      </w:r>
    </w:p>
    <w:p>
      <w:pPr>
        <w:keepNext w:val="0"/>
        <w:keepLines w:val="0"/>
        <w:widowControl/>
        <w:suppressLineNumbers w:val="0"/>
        <w:ind w:firstLine="960" w:firstLineChars="300"/>
        <w:jc w:val="left"/>
      </w:pPr>
      <w:r>
        <w:rPr>
          <w:rFonts w:ascii="仿宋_GB2312" w:hAnsi="宋体" w:eastAsia="仿宋_GB2312" w:cs="仿宋_GB2312"/>
          <w:kern w:val="0"/>
          <w:sz w:val="32"/>
          <w:szCs w:val="32"/>
          <w:lang w:val="en-US" w:eastAsia="zh-CN" w:bidi="ar"/>
        </w:rPr>
        <w:t>下一步，我区将继续深入推进政务公开工作：</w:t>
      </w:r>
      <w:r>
        <w:rPr>
          <w:rFonts w:hint="eastAsia" w:ascii="仿宋_GB2312" w:hAnsi="宋体" w:eastAsia="仿宋_GB2312" w:cs="仿宋_GB2312"/>
          <w:kern w:val="0"/>
          <w:sz w:val="32"/>
          <w:szCs w:val="32"/>
          <w:lang w:val="en-US" w:eastAsia="zh-CN" w:bidi="ar"/>
        </w:rPr>
        <w:t>主要开展了以下三个方面的工作：一是加大政务公开宣传力度，综合运用政府网站、微信公众号和政务公开专区，加强线上、线下宣传，常态化组织开展，切实提高群众知晓度、参与度。二是着力提高政策解读质量，继续探索创新多渠道、全方位、立体式政策解读工作方式，扩大主动公开的受众面，持续提升政策解读工作质量和效果。三是着力提升“两化”建设水平，严格对标国务院、省、市有关工作要求，着力将基层政务公开向农村和社区延伸，全面完成第二批全省政务公开标准化规范化创建工作，抓好经验总结以及提升推广等工作，推进基层政务公开“两化”建设再上新台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六、其他需要报告的事项</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2022年，袁州区人民政府无收取信息处理费情况。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Lucida Sans">
    <w:altName w:val="DejaVu Sans"/>
    <w:panose1 w:val="020B0602030504020204"/>
    <w:charset w:val="00"/>
    <w:family w:val="auto"/>
    <w:pitch w:val="default"/>
    <w:sig w:usb0="00000000" w:usb1="00000000" w:usb2="00000000" w:usb3="00000000" w:csb0="200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389255" cy="319405"/>
              <wp:effectExtent l="0" t="0" r="0" b="0"/>
              <wp:wrapNone/>
              <wp:docPr id="1" name="文本框 1"/>
              <wp:cNvGraphicFramePr/>
              <a:graphic xmlns:a="http://schemas.openxmlformats.org/drawingml/2006/main">
                <a:graphicData uri="http://schemas.microsoft.com/office/word/2010/wordprocessingShape">
                  <wps:wsp>
                    <wps:cNvSpPr/>
                    <wps:spPr>
                      <a:xfrm>
                        <a:off x="0" y="0"/>
                        <a:ext cx="389382" cy="319634"/>
                      </a:xfrm>
                      <a:prstGeom prst="rect">
                        <a:avLst/>
                      </a:prstGeom>
                      <a:noFill/>
                      <a:ln w="6350" cap="flat" cmpd="sng">
                        <a:noFill/>
                        <a:prstDash val="solid"/>
                        <a:round/>
                      </a:ln>
                    </wps:spPr>
                    <wps:txbx>
                      <w:txbxContent>
                        <w:p>
                          <w:pPr>
                            <w:pStyle w:val="6"/>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- 11 -</w:t>
                          </w:r>
                          <w:r>
                            <w:rPr>
                              <w:sz w:val="30"/>
                              <w:szCs w:val="30"/>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25.15pt;width:30.6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m/0IE1wAAAAMBAAAP&#10;AAAAAAAAAAEAIAAAADgAAABkcnMvZG93bnJldi54bWxQSwECFAAUAAAACACHTuJAe+nDfwMCAAD0&#10;AwAADgAAAAAAAAABACAAAAA8AQAAZHJzL2Uyb0RvYy54bWxQSwUGAAAAAAYABgBZAQAAsQUAAAAA&#10;">
              <v:fill on="f" focussize="0,0"/>
              <v:stroke on="f" weight="0.5pt" joinstyle="round"/>
              <v:imagedata o:title=""/>
              <o:lock v:ext="edit" aspectratio="f"/>
              <v:textbox inset="0mm,0mm,0mm,0mm" style="mso-fit-shape-to-text:t;">
                <w:txbxContent>
                  <w:p>
                    <w:pPr>
                      <w:pStyle w:val="6"/>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- 11 -</w:t>
                    </w:r>
                    <w:r>
                      <w:rPr>
                        <w:sz w:val="30"/>
                        <w:szCs w:val="30"/>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7FB7E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宋体" w:hAnsi="宋体"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next w:val="5"/>
    <w:qFormat/>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0</Words>
  <Characters>2817</Characters>
  <Lines>0</Lines>
  <Paragraphs>37</Paragraphs>
  <TotalTime>363</TotalTime>
  <ScaleCrop>false</ScaleCrop>
  <LinksUpToDate>false</LinksUpToDate>
  <CharactersWithSpaces>3757</CharactersWithSpaces>
  <Application>WPS Office_11.8.2.10953_F1E327BC-269C-435d-A152-05C5408002CA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2021-11-27T17:54:00Z</dcterms:created>
  <dc:creator>user</dc:creator>
  <cp:lastModifiedBy>user</cp:lastModifiedBy>
  <cp:lastPrinted>2022-01-29T14:50:00Z</cp:lastPrinted>
  <dcterms:modified xsi:type="dcterms:W3CDTF">2024-03-06T11:30:12Z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