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hint="eastAsia" w:ascii="宋体" w:hAnsi="宋体" w:eastAsia="宋体" w:cs="宋体"/>
          <w:b/>
          <w:bCs/>
          <w:i w:val="0"/>
          <w:iCs w:val="0"/>
          <w:caps w:val="0"/>
          <w:color w:val="333333"/>
          <w:spacing w:val="0"/>
          <w:kern w:val="0"/>
          <w:sz w:val="36"/>
          <w:szCs w:val="36"/>
          <w:bdr w:val="none" w:color="auto" w:sz="0" w:space="0"/>
          <w:shd w:val="clear" w:fill="FFFFFF"/>
          <w:lang w:val="en-US" w:eastAsia="zh-CN" w:bidi="ar"/>
        </w:rPr>
        <w:t>竹亭镇2019年度政府信息公开年度报告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rFonts w:ascii="方正小标宋简体" w:hAnsi="方正小标宋简体" w:eastAsia="方正小标宋简体" w:cs="方正小标宋简体"/>
          <w:sz w:val="43"/>
          <w:szCs w:val="43"/>
        </w:rPr>
      </w:pPr>
      <w:r>
        <w:rPr>
          <w:rFonts w:ascii="仿宋" w:hAnsi="仿宋" w:eastAsia="仿宋" w:cs="仿宋"/>
          <w:b/>
          <w:bCs/>
          <w:i w:val="0"/>
          <w:iCs w:val="0"/>
          <w:caps w:val="0"/>
          <w:color w:val="333333"/>
          <w:spacing w:val="0"/>
          <w:sz w:val="31"/>
          <w:szCs w:val="31"/>
          <w:bdr w:val="none" w:color="auto" w:sz="0" w:space="0"/>
          <w:shd w:val="clear" w:fill="FFFFFF"/>
        </w:rPr>
        <w:t>    ​一、总体情况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jc w:val="both"/>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竹亭镇结合有关统计数据编制。本年度报告中所列数据的统计期限自2019年1月1日起至2019年12月31日止。全文包括总体情况、主动公开政府信息情况、收到和处理政府信息公开申请情况、政府信息公开行政复议行政诉讼情况、存在的主要问题及改进情况、其他需要报告的事项。本年度报告的电子版可以从袁州区人民政府网站下载（http://www.yzq.gov.cn/）。如对本报告有任何疑问，请与竹亭镇人民政府联系（地址：竹亭镇人民政府党政办，电话：0795-3648348</w:t>
      </w:r>
      <w:r>
        <w:rPr>
          <w:rFonts w:hint="eastAsia" w:ascii="宋体" w:hAnsi="宋体" w:eastAsia="宋体" w:cs="宋体"/>
          <w:i w:val="0"/>
          <w:iCs w:val="0"/>
          <w:caps w:val="0"/>
          <w:color w:val="333333"/>
          <w:spacing w:val="0"/>
          <w:sz w:val="31"/>
          <w:szCs w:val="31"/>
          <w:bdr w:val="none" w:color="auto" w:sz="0" w:space="0"/>
          <w:shd w:val="clear" w:fill="FFFFFF"/>
        </w:rPr>
        <w:t>）</w:t>
      </w:r>
      <w:r>
        <w:rPr>
          <w:rFonts w:hint="eastAsia" w:ascii="仿宋" w:hAnsi="仿宋" w:eastAsia="仿宋" w:cs="仿宋"/>
          <w:i w:val="0"/>
          <w:iCs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420" w:right="0" w:firstLine="643"/>
        <w:jc w:val="both"/>
        <w:rPr>
          <w:rFonts w:hint="eastAsia" w:ascii="仿宋" w:hAnsi="仿宋" w:eastAsia="仿宋" w:cs="仿宋"/>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  （一）加强组织领导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jc w:val="both"/>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rPr>
        <w:t>我镇党政办公室负责政府信息公开工作的具体事宜，安排专人负责日常政务信息公开工作，由专人进行相关政务资料的收集、整理和上报工作，确保政府信息公开的及时性、准确性与全面性。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3"/>
        <w:jc w:val="both"/>
        <w:rPr>
          <w:rFonts w:hint="eastAsia" w:ascii="仿宋" w:hAnsi="仿宋" w:eastAsia="仿宋" w:cs="仿宋"/>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（二）完善政府信息公开工作制度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jc w:val="both"/>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rPr>
        <w:t>建立健全镇政府信息公开工作考核制度、社会评议制度和责任追究制度，明确职责权限，落实责任体系，建立规范的问责体系健全制度，并定期对政府信息公开工作进行考核、评议。同时结合自身实际，按照全省、市、区政府信息公开工作要求，进一步细化政府信息公开相关制度和工作措施，建立健全政府信息上报制度、政府信息审核制度、政府信息公开保密审查制度。落实保密审查责任，规范审查程序，对因未审查或审查不严导致不良影响或后果的，要严肃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3"/>
        <w:jc w:val="both"/>
        <w:rPr>
          <w:rFonts w:hint="eastAsia" w:ascii="仿宋" w:hAnsi="仿宋" w:eastAsia="仿宋" w:cs="仿宋"/>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（三）拓宽政府信息公开渠道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640"/>
        <w:jc w:val="both"/>
        <w:rPr>
          <w:rFonts w:hint="eastAsia" w:ascii="仿宋" w:hAnsi="仿宋" w:eastAsia="仿宋" w:cs="仿宋"/>
          <w:sz w:val="31"/>
          <w:szCs w:val="31"/>
        </w:rPr>
      </w:pPr>
      <w:r>
        <w:rPr>
          <w:rFonts w:hint="eastAsia" w:ascii="仿宋" w:hAnsi="仿宋" w:eastAsia="仿宋" w:cs="仿宋"/>
          <w:i w:val="0"/>
          <w:iCs w:val="0"/>
          <w:caps w:val="0"/>
          <w:color w:val="333333"/>
          <w:spacing w:val="0"/>
          <w:sz w:val="31"/>
          <w:szCs w:val="31"/>
          <w:bdr w:val="none" w:color="auto" w:sz="0" w:space="0"/>
          <w:shd w:val="clear" w:fill="FFFFFF"/>
        </w:rPr>
        <w:t>根据《条例》要求，加大政务信息公开力度，对照目标，强化落实，积极拓宽政府信息公开的渠道，不断提高政务信息的编制质量和公布效果。突出工作重点，对涉及广大人民群众最根本利益的，广大人民群众最关心、最关注的政务信息，做到第一时间及时、准确的公开、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2"/>
        <w:jc w:val="both"/>
        <w:rPr>
          <w:rFonts w:hint="default" w:ascii="Times New Roman" w:hAnsi="Times New Roman" w:cs="Times New Roman"/>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  二、主动公政府信息情况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039"/>
        <w:gridCol w:w="1817"/>
        <w:gridCol w:w="1661"/>
        <w:gridCol w:w="6"/>
        <w:gridCol w:w="1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0" w:hRule="atLeast"/>
          <w:tblCellSpacing w:w="0" w:type="dxa"/>
        </w:trPr>
        <w:tc>
          <w:tcPr>
            <w:tcW w:w="8868"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信息内容</w:t>
            </w:r>
          </w:p>
        </w:tc>
        <w:tc>
          <w:tcPr>
            <w:tcW w:w="1936"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本年新制作数量</w:t>
            </w:r>
          </w:p>
        </w:tc>
        <w:tc>
          <w:tcPr>
            <w:tcW w:w="1771" w:type="dxa"/>
            <w:gridSpan w:val="2"/>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本年新公开数量</w:t>
            </w:r>
          </w:p>
        </w:tc>
        <w:tc>
          <w:tcPr>
            <w:tcW w:w="1912"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规章</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71"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2"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规范性文件</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71"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2"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8868" w:type="dxa"/>
            <w:gridSpan w:val="5"/>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信息内容</w:t>
            </w:r>
          </w:p>
        </w:tc>
        <w:tc>
          <w:tcPr>
            <w:tcW w:w="1936"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上一年项目数量</w:t>
            </w:r>
          </w:p>
        </w:tc>
        <w:tc>
          <w:tcPr>
            <w:tcW w:w="1771" w:type="dxa"/>
            <w:gridSpan w:val="2"/>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本年增/减</w:t>
            </w:r>
          </w:p>
        </w:tc>
        <w:tc>
          <w:tcPr>
            <w:tcW w:w="1912"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行政许可</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6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其他对外管理服务事项</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6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8868" w:type="dxa"/>
            <w:gridSpan w:val="5"/>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信息内容</w:t>
            </w:r>
          </w:p>
        </w:tc>
        <w:tc>
          <w:tcPr>
            <w:tcW w:w="1936"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上一年项目数量</w:t>
            </w:r>
          </w:p>
        </w:tc>
        <w:tc>
          <w:tcPr>
            <w:tcW w:w="1771" w:type="dxa"/>
            <w:gridSpan w:val="2"/>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本年增/减</w:t>
            </w:r>
          </w:p>
        </w:tc>
        <w:tc>
          <w:tcPr>
            <w:tcW w:w="1912"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行政处罚</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6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行政强制</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76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191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8868" w:type="dxa"/>
            <w:gridSpan w:val="5"/>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信息内容</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上一年项目数量</w:t>
            </w:r>
          </w:p>
        </w:tc>
        <w:tc>
          <w:tcPr>
            <w:tcW w:w="3683" w:type="dxa"/>
            <w:gridSpan w:val="3"/>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行政事业性收费</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c>
          <w:tcPr>
            <w:tcW w:w="3683" w:type="dxa"/>
            <w:gridSpan w:val="3"/>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8868" w:type="dxa"/>
            <w:gridSpan w:val="5"/>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信息内容</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采购项目数量</w:t>
            </w:r>
          </w:p>
        </w:tc>
        <w:tc>
          <w:tcPr>
            <w:tcW w:w="3683" w:type="dxa"/>
            <w:gridSpan w:val="3"/>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3249"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政府集中采购</w:t>
            </w:r>
          </w:p>
        </w:tc>
        <w:tc>
          <w:tcPr>
            <w:tcW w:w="193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5</w:t>
            </w:r>
          </w:p>
        </w:tc>
        <w:tc>
          <w:tcPr>
            <w:tcW w:w="3683" w:type="dxa"/>
            <w:gridSpan w:val="3"/>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2"/>
                <w:szCs w:val="22"/>
              </w:rPr>
            </w:pPr>
            <w:r>
              <w:rPr>
                <w:rFonts w:hint="default" w:ascii="Times New Roman" w:hAnsi="Times New Roman" w:cs="Times New Roman"/>
                <w:color w:val="000000"/>
                <w:sz w:val="22"/>
                <w:szCs w:val="22"/>
                <w:bdr w:val="none" w:color="auto" w:sz="0" w:space="0"/>
              </w:rPr>
              <w:t>60596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hint="eastAsia" w:ascii="仿宋" w:hAnsi="仿宋" w:eastAsia="仿宋" w:cs="仿宋"/>
          <w:b/>
          <w:bCs/>
          <w:i w:val="0"/>
          <w:iCs w:val="0"/>
          <w:caps w:val="0"/>
          <w:color w:val="333333"/>
          <w:spacing w:val="0"/>
          <w:sz w:val="31"/>
          <w:szCs w:val="31"/>
          <w:bdr w:val="none" w:color="auto" w:sz="0" w:space="0"/>
          <w:shd w:val="clear" w:fill="FFFFFF"/>
        </w:rPr>
        <w:t>    三、收到和处理政府信息公开申请情况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90"/>
        <w:gridCol w:w="821"/>
        <w:gridCol w:w="1867"/>
        <w:gridCol w:w="740"/>
        <w:gridCol w:w="689"/>
        <w:gridCol w:w="689"/>
        <w:gridCol w:w="740"/>
        <w:gridCol w:w="881"/>
        <w:gridCol w:w="652"/>
        <w:gridCol w:w="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97" w:hRule="atLeast"/>
          <w:tblCellSpacing w:w="0" w:type="dxa"/>
        </w:trPr>
        <w:tc>
          <w:tcPr>
            <w:tcW w:w="3554" w:type="dxa"/>
            <w:gridSpan w:val="3"/>
            <w:vMerge w:val="restart"/>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（本列数据的勾稽关系为：第一项加第二项之和，等于第三项加第四项之和）</w:t>
            </w:r>
          </w:p>
        </w:tc>
        <w:tc>
          <w:tcPr>
            <w:tcW w:w="5517" w:type="dxa"/>
            <w:gridSpan w:val="7"/>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3554"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13" w:type="dxa"/>
            <w:vMerge w:val="restart"/>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自然人</w:t>
            </w:r>
          </w:p>
        </w:tc>
        <w:tc>
          <w:tcPr>
            <w:tcW w:w="4010" w:type="dxa"/>
            <w:gridSpan w:val="5"/>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法人或其他组织</w:t>
            </w:r>
          </w:p>
        </w:tc>
        <w:tc>
          <w:tcPr>
            <w:tcW w:w="694"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3554" w:type="dxa"/>
            <w:gridSpan w:val="3"/>
            <w:vMerge w:val="continue"/>
            <w:tcBorders>
              <w:top w:val="single" w:color="000000"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13"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商业企业</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科研机构</w:t>
            </w:r>
          </w:p>
        </w:tc>
        <w:tc>
          <w:tcPr>
            <w:tcW w:w="813"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社会公益组织</w:t>
            </w:r>
          </w:p>
        </w:tc>
        <w:tc>
          <w:tcPr>
            <w:tcW w:w="974"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法律服务机构</w:t>
            </w:r>
          </w:p>
        </w:tc>
        <w:tc>
          <w:tcPr>
            <w:tcW w:w="713"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其他</w:t>
            </w:r>
          </w:p>
        </w:tc>
        <w:tc>
          <w:tcPr>
            <w:tcW w:w="713" w:type="dxa"/>
            <w:tcBorders>
              <w:top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3554" w:type="dxa"/>
            <w:gridSpan w:val="3"/>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一、本年新收政府信息公开申请数量</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1</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pPr>
            <w:r>
              <w:rPr>
                <w:rFonts w:ascii="Times New Roman" w:hAnsi="Times New Roman" w:eastAsia="宋体" w:cs="Times New Roman"/>
                <w:kern w:val="0"/>
                <w:sz w:val="19"/>
                <w:szCs w:val="19"/>
                <w:bdr w:val="none" w:color="auto" w:sz="0" w:space="0"/>
                <w:shd w:val="clear" w:fill="FFFFFF"/>
                <w:lang w:val="en-US" w:eastAsia="zh-CN" w:bidi="ar"/>
              </w:rPr>
              <w:t> </w:t>
            </w:r>
            <w:r>
              <w:rPr>
                <w:rFonts w:hint="default" w:ascii="Times New Roman" w:hAnsi="Times New Roman" w:eastAsia="宋体" w:cs="Times New Roman"/>
                <w:kern w:val="0"/>
                <w:sz w:val="19"/>
                <w:szCs w:val="19"/>
                <w:bdr w:val="none" w:color="auto" w:sz="0" w:space="0"/>
                <w:shd w:val="clear" w:fill="FFFFFF"/>
                <w:lang w:val="en-US" w:eastAsia="zh-CN" w:bidi="ar"/>
              </w:rPr>
              <w:t>0</w:t>
            </w:r>
          </w:p>
        </w:tc>
        <w:tc>
          <w:tcPr>
            <w:tcW w:w="713" w:type="dxa"/>
            <w:tcBorders>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pPr>
            <w:r>
              <w:rPr>
                <w:rFonts w:hint="default" w:ascii="Times New Roman" w:hAnsi="Times New Roman" w:eastAsia="宋体" w:cs="Times New Roman"/>
                <w:kern w:val="0"/>
                <w:sz w:val="19"/>
                <w:szCs w:val="19"/>
                <w:bdr w:val="none" w:color="auto" w:sz="0" w:space="0"/>
                <w:shd w:val="clear" w:fill="FFFFFF"/>
                <w:lang w:val="en-US" w:eastAsia="zh-CN" w:bidi="ar"/>
              </w:rPr>
              <w:t> 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3554" w:type="dxa"/>
            <w:gridSpan w:val="3"/>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二、上年结转政府信息公开申请数量</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restart"/>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三、本年度办理结果</w:t>
            </w:r>
          </w:p>
        </w:tc>
        <w:tc>
          <w:tcPr>
            <w:tcW w:w="293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（一）予以公开</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1</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93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（二）部分公开（区分处理的，只计这一情形，不计其他情形）</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restart"/>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（三）不予公开</w:t>
            </w: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1.属于国家秘密</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2.其他法律行政法规禁止公开</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3.危及“三安全一稳定”</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4.保护第三方合法权益</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5.属于三类内部事务信息</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6.属于四类过程性信息</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7.属于行政执法案卷</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8.属于行政查询事项</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restart"/>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（四）无法提供</w:t>
            </w: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1.本机关不掌握相关政府信息</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2.没有现成信息需要另行制作</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3.补正后申请内容仍不明确</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restart"/>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（五）不予处理</w:t>
            </w: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1.信访举报投诉类申请</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2.重复申请</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3.要求提供公开出版物</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4.无正当理由大量反复申请</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85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208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5.要求行政机关确认或重新出具已获取信息</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93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（六）其他处理</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616"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2938" w:type="dxa"/>
            <w:gridSpan w:val="2"/>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（七）总计</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1</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974" w:type="dxa"/>
            <w:tcBorders>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pPr>
            <w:r>
              <w:rPr>
                <w:rFonts w:hint="default" w:ascii="Times New Roman" w:hAnsi="Times New Roman" w:eastAsia="宋体" w:cs="Times New Roman"/>
                <w:kern w:val="0"/>
                <w:sz w:val="19"/>
                <w:szCs w:val="19"/>
                <w:bdr w:val="none" w:color="auto" w:sz="0" w:space="0"/>
                <w:shd w:val="clear" w:fill="FFFFFF"/>
                <w:lang w:val="en-US" w:eastAsia="zh-CN" w:bidi="ar"/>
              </w:rPr>
              <w:t> 0</w:t>
            </w:r>
          </w:p>
        </w:tc>
        <w:tc>
          <w:tcPr>
            <w:tcW w:w="713" w:type="dxa"/>
            <w:tcBorders>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pPr>
            <w:r>
              <w:rPr>
                <w:rFonts w:hint="default" w:ascii="Times New Roman" w:hAnsi="Times New Roman" w:eastAsia="宋体" w:cs="Times New Roman"/>
                <w:kern w:val="0"/>
                <w:sz w:val="19"/>
                <w:szCs w:val="19"/>
                <w:bdr w:val="none" w:color="auto" w:sz="0" w:space="0"/>
                <w:shd w:val="clear" w:fill="FFFFFF"/>
                <w:lang w:val="en-US" w:eastAsia="zh-CN" w:bidi="ar"/>
              </w:rPr>
              <w:t> 0</w:t>
            </w:r>
          </w:p>
        </w:tc>
        <w:tc>
          <w:tcPr>
            <w:tcW w:w="69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CellSpacing w:w="0" w:type="dxa"/>
        </w:trPr>
        <w:tc>
          <w:tcPr>
            <w:tcW w:w="3554" w:type="dxa"/>
            <w:gridSpan w:val="3"/>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四、结转下年度继续办理</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75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8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97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w:t>
            </w:r>
            <w:r>
              <w:rPr>
                <w:rFonts w:hint="default" w:ascii="Times New Roman" w:hAnsi="Times New Roman" w:cs="Times New Roman"/>
                <w:sz w:val="19"/>
                <w:szCs w:val="19"/>
                <w:bdr w:val="none" w:color="auto" w:sz="0" w:space="0"/>
              </w:rPr>
              <w:t>0</w:t>
            </w:r>
          </w:p>
        </w:tc>
        <w:tc>
          <w:tcPr>
            <w:tcW w:w="713"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94" w:type="dxa"/>
            <w:tcBorders>
              <w:bottom w:val="single" w:color="000000" w:sz="6" w:space="0"/>
              <w:right w:val="single" w:color="000000" w:sz="6" w:space="0"/>
            </w:tcBorders>
            <w:shd w:val="clear"/>
            <w:vAlign w:val="center"/>
          </w:tcPr>
          <w:p>
            <w:pPr>
              <w:keepNext w:val="0"/>
              <w:keepLines w:val="0"/>
              <w:widowControl/>
              <w:suppressLineNumbers w:val="0"/>
              <w:wordWrap w:val="0"/>
              <w:spacing w:before="0" w:beforeAutospacing="0" w:after="0" w:afterAutospacing="0"/>
              <w:ind w:left="0" w:right="0"/>
              <w:jc w:val="center"/>
            </w:pPr>
            <w:r>
              <w:rPr>
                <w:rFonts w:hint="default" w:ascii="Times New Roman" w:hAnsi="Times New Roman" w:eastAsia="宋体" w:cs="Times New Roman"/>
                <w:kern w:val="0"/>
                <w:sz w:val="19"/>
                <w:szCs w:val="19"/>
                <w:bdr w:val="none" w:color="auto" w:sz="0" w:space="0"/>
                <w:shd w:val="clear" w:fill="FFFFFF"/>
                <w:lang w:val="en-US" w:eastAsia="zh-CN" w:bidi="ar"/>
              </w:rPr>
              <w:t>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2"/>
        <w:jc w:val="both"/>
        <w:rPr>
          <w:rFonts w:hint="default" w:ascii="Times New Roman" w:hAnsi="Times New Roman" w:cs="Times New Roman"/>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四、政府信息公开行政复议、行政诉讼情况</w:t>
      </w:r>
    </w:p>
    <w:tbl>
      <w:tblPr>
        <w:tblW w:w="0" w:type="auto"/>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5"/>
        <w:gridCol w:w="553"/>
        <w:gridCol w:w="554"/>
        <w:gridCol w:w="554"/>
        <w:gridCol w:w="601"/>
        <w:gridCol w:w="507"/>
        <w:gridCol w:w="555"/>
        <w:gridCol w:w="555"/>
        <w:gridCol w:w="555"/>
        <w:gridCol w:w="555"/>
        <w:gridCol w:w="555"/>
        <w:gridCol w:w="555"/>
        <w:gridCol w:w="555"/>
        <w:gridCol w:w="556"/>
        <w:gridCol w:w="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3074" w:type="dxa"/>
            <w:gridSpan w:val="5"/>
            <w:tcBorders>
              <w:top w:val="single" w:color="000000"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行政复议</w:t>
            </w:r>
          </w:p>
        </w:tc>
        <w:tc>
          <w:tcPr>
            <w:tcW w:w="5997" w:type="dxa"/>
            <w:gridSpan w:val="10"/>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4" w:type="dxa"/>
            <w:vMerge w:val="restart"/>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结果维持</w:t>
            </w:r>
          </w:p>
        </w:tc>
        <w:tc>
          <w:tcPr>
            <w:tcW w:w="604" w:type="dxa"/>
            <w:vMerge w:val="restart"/>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结果纠正</w:t>
            </w:r>
          </w:p>
        </w:tc>
        <w:tc>
          <w:tcPr>
            <w:tcW w:w="604" w:type="dxa"/>
            <w:vMerge w:val="restart"/>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其他结果</w:t>
            </w:r>
          </w:p>
        </w:tc>
        <w:tc>
          <w:tcPr>
            <w:tcW w:w="604" w:type="dxa"/>
            <w:vMerge w:val="restart"/>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尚未审结</w:t>
            </w:r>
          </w:p>
        </w:tc>
        <w:tc>
          <w:tcPr>
            <w:tcW w:w="658" w:type="dxa"/>
            <w:vMerge w:val="restart"/>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总计</w:t>
            </w:r>
          </w:p>
        </w:tc>
        <w:tc>
          <w:tcPr>
            <w:tcW w:w="2970" w:type="dxa"/>
            <w:gridSpan w:val="5"/>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未经复议直接起诉</w:t>
            </w:r>
          </w:p>
        </w:tc>
        <w:tc>
          <w:tcPr>
            <w:tcW w:w="3027" w:type="dxa"/>
            <w:gridSpan w:val="5"/>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4" w:type="dxa"/>
            <w:vMerge w:val="continue"/>
            <w:tcBorders>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04" w:type="dxa"/>
            <w:vMerge w:val="continue"/>
            <w:tcBorders>
              <w:bottom w:val="single" w:color="000000" w:sz="6" w:space="0"/>
              <w:right w:val="single" w:color="000000" w:sz="6" w:space="0"/>
            </w:tcBorders>
            <w:shd w:val="clear"/>
            <w:vAlign w:val="center"/>
          </w:tcPr>
          <w:p>
            <w:pPr>
              <w:rPr>
                <w:rFonts w:hint="eastAsia" w:ascii="宋体"/>
                <w:sz w:val="24"/>
                <w:szCs w:val="24"/>
              </w:rPr>
            </w:pPr>
          </w:p>
        </w:tc>
        <w:tc>
          <w:tcPr>
            <w:tcW w:w="604" w:type="dxa"/>
            <w:vMerge w:val="continue"/>
            <w:tcBorders>
              <w:top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04" w:type="dxa"/>
            <w:vMerge w:val="continue"/>
            <w:tcBorders>
              <w:top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658" w:type="dxa"/>
            <w:vMerge w:val="continue"/>
            <w:tcBorders>
              <w:top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550"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结果维持</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结果纠正</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其他结果</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尚未审结</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总计</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结果维持</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结果纠正</w:t>
            </w:r>
          </w:p>
        </w:tc>
        <w:tc>
          <w:tcPr>
            <w:tcW w:w="605"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其他结果</w:t>
            </w:r>
          </w:p>
        </w:tc>
        <w:tc>
          <w:tcPr>
            <w:tcW w:w="606"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尚未审结</w:t>
            </w:r>
          </w:p>
        </w:tc>
        <w:tc>
          <w:tcPr>
            <w:tcW w:w="606" w:type="dxa"/>
            <w:tcBorders>
              <w:top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19"/>
                <w:szCs w:val="19"/>
              </w:rPr>
            </w:pPr>
            <w:r>
              <w:rPr>
                <w:rFonts w:hint="eastAsia" w:ascii="宋体" w:hAnsi="宋体" w:eastAsia="宋体" w:cs="宋体"/>
                <w:color w:val="00000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04" w:type="dxa"/>
            <w:tcBorders>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4"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58"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550"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5"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 0</w:t>
            </w:r>
          </w:p>
        </w:tc>
        <w:tc>
          <w:tcPr>
            <w:tcW w:w="60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9"/>
                <w:szCs w:val="19"/>
              </w:rPr>
            </w:pPr>
            <w:r>
              <w:rPr>
                <w:rFonts w:hint="default" w:ascii="Times New Roman" w:hAnsi="Times New Roman" w:cs="Times New Roman"/>
                <w:color w:val="000000"/>
                <w:sz w:val="19"/>
                <w:szCs w:val="19"/>
                <w:bdr w:val="none" w:color="auto" w:sz="0" w:space="0"/>
              </w:rPr>
              <w:t>0 </w:t>
            </w:r>
          </w:p>
        </w:tc>
        <w:tc>
          <w:tcPr>
            <w:tcW w:w="606" w:type="dxa"/>
            <w:tcBorders>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4"/>
                <w:szCs w:val="24"/>
                <w:bdr w:val="none" w:color="auto" w:sz="0" w:space="0"/>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76" w:afterAutospacing="0" w:line="450" w:lineRule="atLeast"/>
        <w:ind w:left="0" w:right="0" w:firstLine="480"/>
        <w:jc w:val="both"/>
      </w:pPr>
      <w:r>
        <w:rPr>
          <w:rStyle w:val="5"/>
          <w:rFonts w:hint="eastAsia" w:ascii="仿宋" w:hAnsi="仿宋" w:eastAsia="仿宋" w:cs="仿宋"/>
          <w:i w:val="0"/>
          <w:iCs w:val="0"/>
          <w:caps w:val="0"/>
          <w:color w:val="333333"/>
          <w:spacing w:val="0"/>
          <w:sz w:val="31"/>
          <w:szCs w:val="31"/>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76" w:afterAutospacing="0" w:line="450" w:lineRule="atLeast"/>
        <w:ind w:left="0" w:right="0" w:firstLine="480"/>
        <w:jc w:val="both"/>
      </w:pPr>
      <w:r>
        <w:rPr>
          <w:rFonts w:hint="eastAsia" w:ascii="仿宋" w:hAnsi="仿宋" w:eastAsia="仿宋" w:cs="仿宋"/>
          <w:i w:val="0"/>
          <w:iCs w:val="0"/>
          <w:caps w:val="0"/>
          <w:color w:val="333333"/>
          <w:spacing w:val="0"/>
          <w:sz w:val="31"/>
          <w:szCs w:val="31"/>
          <w:bdr w:val="none" w:color="auto" w:sz="0" w:space="0"/>
          <w:shd w:val="clear" w:fill="FFFFFF"/>
        </w:rPr>
        <w:t> 2019年在政府信息公开工作方面主要存在的问题：信息公开的内容有待进一步完善，政府信息公开的服务性有待进一步提高。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6" w:beforeAutospacing="0" w:after="76" w:afterAutospacing="0" w:line="450" w:lineRule="atLeast"/>
        <w:ind w:left="0" w:right="0" w:firstLine="480"/>
        <w:jc w:val="both"/>
      </w:pPr>
      <w:r>
        <w:rPr>
          <w:rFonts w:hint="eastAsia" w:ascii="仿宋" w:hAnsi="仿宋" w:eastAsia="仿宋" w:cs="仿宋"/>
          <w:i w:val="0"/>
          <w:iCs w:val="0"/>
          <w:caps w:val="0"/>
          <w:color w:val="333333"/>
          <w:spacing w:val="0"/>
          <w:sz w:val="31"/>
          <w:szCs w:val="31"/>
          <w:bdr w:val="none" w:color="auto" w:sz="0" w:space="0"/>
          <w:shd w:val="clear" w:fill="FFFFFF"/>
        </w:rPr>
        <w:t>针对存在问题和不足，我乡将采取措施加以改进：统一认识，将进一步梳理掌握的政府信息，及时提供，定期维护，确保政府信息公开工作能按照既定的工作流程有效运作，以方便群众查询，达到为人民服务的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2"/>
        <w:jc w:val="both"/>
        <w:rPr>
          <w:rFonts w:hint="default" w:ascii="Times New Roman" w:hAnsi="Times New Roman" w:cs="Times New Roman"/>
          <w:sz w:val="31"/>
          <w:szCs w:val="31"/>
        </w:rPr>
      </w:pPr>
      <w:r>
        <w:rPr>
          <w:rFonts w:hint="eastAsia" w:ascii="仿宋" w:hAnsi="仿宋" w:eastAsia="仿宋" w:cs="仿宋"/>
          <w:b/>
          <w:bCs/>
          <w:i w:val="0"/>
          <w:iCs w:val="0"/>
          <w:caps w:val="0"/>
          <w:color w:val="333333"/>
          <w:spacing w:val="0"/>
          <w:sz w:val="31"/>
          <w:szCs w:val="31"/>
          <w:bdr w:val="none" w:color="auto" w:sz="0" w:space="0"/>
          <w:shd w:val="clear" w:fill="FFFFFF"/>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82"/>
        <w:jc w:val="both"/>
        <w:rPr>
          <w:rFonts w:hint="default" w:ascii="Times New Roman" w:hAnsi="Times New Roman" w:cs="Times New Roman"/>
          <w:sz w:val="31"/>
          <w:szCs w:val="31"/>
        </w:rPr>
      </w:pPr>
      <w:r>
        <w:rPr>
          <w:rFonts w:hint="eastAsia" w:ascii="仿宋" w:hAnsi="仿宋" w:eastAsia="仿宋" w:cs="仿宋"/>
          <w:i w:val="0"/>
          <w:iCs w:val="0"/>
          <w:caps w:val="0"/>
          <w:color w:val="333333"/>
          <w:spacing w:val="0"/>
          <w:sz w:val="31"/>
          <w:szCs w:val="31"/>
          <w:bdr w:val="none" w:color="auto" w:sz="0" w:space="0"/>
          <w:shd w:val="clear" w:fill="FFFFFF"/>
        </w:rPr>
        <w:t>其他需要报告的事项：无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D1DD1"/>
    <w:rsid w:val="745D1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2021-04-29T02:21:00Z</dcterms:created>
  <dc:creator>龙雀</dc:creator>
  <cp:lastModifiedBy>龙雀</cp:lastModifiedBy>
  <dcterms:modified xsi:type="dcterms:W3CDTF">2021-04-29T02:21:17Z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42B3BD3F470B4115A6A06B184C873662</vt:lpwstr>
  </property>
</Properties>
</file>