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袁州区医疗保障局2020年度政府信息公开年度报告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袁州区医保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袁州区人民政府网（http://www.yzq.gov.cn/）下载。如对本报告有任何疑问，请与袁州区医保局联系（地址：宜春市袁州区袁州大厦三楼东，电话：0795-3588551，邮编：336000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333333"/>
          <w:spacing w:val="0"/>
          <w:kern w:val="0"/>
          <w:sz w:val="32"/>
          <w:szCs w:val="32"/>
          <w:shd w:val="clear" w:fill="FFFFFF"/>
          <w:lang w:val="en-US" w:eastAsia="zh-CN" w:bidi="ar"/>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袁州区医保局坚持以习近平新时代中国特色社会主义思想为指导，深入贯彻党的十九大和十九届二中、三中、四中、五中全会精神，紧紧围绕区委、区政府中心工作及社会群众关注关切，着力提升政府信息公开质量，推进拓宽政府信息公开渠道，不断增强政府信息公开实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i w:val="0"/>
          <w:caps w:val="0"/>
          <w:color w:val="333333"/>
          <w:spacing w:val="0"/>
          <w:kern w:val="0"/>
          <w:sz w:val="32"/>
          <w:szCs w:val="32"/>
          <w:shd w:val="clear" w:fill="FFFFFF"/>
          <w:lang w:val="en-US" w:eastAsia="zh-CN" w:bidi="ar"/>
        </w:rPr>
        <w:t>（一）主动公开情况。</w:t>
      </w:r>
      <w:r>
        <w:rPr>
          <w:rFonts w:hint="eastAsia" w:ascii="仿宋_GB2312" w:hAnsi="仿宋_GB2312" w:eastAsia="仿宋_GB2312" w:cs="仿宋_GB2312"/>
          <w:sz w:val="32"/>
          <w:szCs w:val="32"/>
          <w:lang w:val="en-US" w:eastAsia="zh-CN"/>
        </w:rPr>
        <w:t>我局政务公开共分公共监管、公开指南、机构职能、政务动态、人事信息等10个栏目，今年，我局主动公开信息共112条。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i w:val="0"/>
          <w:caps w:val="0"/>
          <w:color w:val="333333"/>
          <w:spacing w:val="0"/>
          <w:kern w:val="0"/>
          <w:sz w:val="32"/>
          <w:szCs w:val="32"/>
          <w:shd w:val="clear" w:fill="FFFFFF"/>
          <w:lang w:val="en-US" w:eastAsia="zh-CN" w:bidi="ar"/>
        </w:rPr>
        <w:t>（二）依申请公开。</w:t>
      </w:r>
      <w:r>
        <w:rPr>
          <w:rFonts w:hint="eastAsia" w:ascii="仿宋_GB2312" w:hAnsi="仿宋_GB2312" w:eastAsia="仿宋_GB2312" w:cs="仿宋_GB2312"/>
          <w:sz w:val="32"/>
          <w:szCs w:val="32"/>
          <w:lang w:val="en-US" w:eastAsia="zh-CN"/>
        </w:rPr>
        <w:t>对个人和其他组织需要我局提供主动公开信息以外的政府信息，依程序公开，并在政务公开网提供公开指南。2020年，我局公开9条行政处罚的信息。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i w:val="0"/>
          <w:caps w:val="0"/>
          <w:color w:val="333333"/>
          <w:spacing w:val="0"/>
          <w:kern w:val="0"/>
          <w:sz w:val="32"/>
          <w:szCs w:val="32"/>
          <w:shd w:val="clear" w:fill="FFFFFF"/>
          <w:lang w:val="en-US" w:eastAsia="zh-CN" w:bidi="ar"/>
        </w:rPr>
        <w:t>（三）政府信息管理。</w:t>
      </w:r>
      <w:r>
        <w:rPr>
          <w:rFonts w:hint="eastAsia" w:ascii="仿宋_GB2312" w:hAnsi="仿宋_GB2312" w:eastAsia="仿宋_GB2312" w:cs="仿宋_GB2312"/>
          <w:sz w:val="32"/>
          <w:szCs w:val="32"/>
          <w:lang w:val="en-US" w:eastAsia="zh-CN"/>
        </w:rPr>
        <w:t>政府信息公开派专人管理，落实具体工作人员，在信息公开发布前认真审核、及时更新，确保信息发布内容的准确性。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sz w:val="32"/>
          <w:szCs w:val="32"/>
          <w:lang w:val="en-US" w:eastAsia="zh-CN"/>
        </w:rPr>
      </w:pPr>
      <w:r>
        <w:rPr>
          <w:rStyle w:val="5"/>
          <w:rFonts w:hint="eastAsia" w:ascii="楷体" w:hAnsi="楷体" w:eastAsia="楷体" w:cs="楷体"/>
          <w:i w:val="0"/>
          <w:iCs w:val="0"/>
          <w:caps w:val="0"/>
          <w:color w:val="333333"/>
          <w:spacing w:val="0"/>
          <w:sz w:val="31"/>
          <w:szCs w:val="31"/>
          <w:shd w:val="clear" w:fill="FFFFFF"/>
          <w:lang w:val="en-US" w:eastAsia="zh-CN"/>
        </w:rPr>
        <w:t>（四）平台建设。</w:t>
      </w:r>
      <w:r>
        <w:rPr>
          <w:rFonts w:hint="eastAsia" w:ascii="仿宋_GB2312" w:hAnsi="仿宋_GB2312" w:eastAsia="仿宋_GB2312" w:cs="仿宋_GB2312"/>
          <w:sz w:val="32"/>
          <w:szCs w:val="32"/>
          <w:lang w:val="en-US" w:eastAsia="zh-CN"/>
        </w:rPr>
        <w:t>健全完善工作机制，落实主体责任，完善平台建设。按照工作要求，完善相关政府信息公开目录，及时更新、及时发布。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textAlignment w:val="auto"/>
        <w:rPr>
          <w:rFonts w:hint="eastAsia" w:ascii="仿宋_GB2312" w:hAnsi="仿宋_GB2312" w:eastAsia="仿宋_GB2312" w:cs="仿宋_GB2312"/>
          <w:sz w:val="32"/>
          <w:szCs w:val="32"/>
          <w:lang w:val="en-US" w:eastAsia="zh-CN"/>
        </w:rPr>
      </w:pPr>
      <w:r>
        <w:rPr>
          <w:rStyle w:val="5"/>
          <w:rFonts w:hint="eastAsia" w:ascii="楷体" w:hAnsi="楷体" w:eastAsia="楷体" w:cs="楷体"/>
          <w:i w:val="0"/>
          <w:iCs w:val="0"/>
          <w:caps w:val="0"/>
          <w:color w:val="333333"/>
          <w:spacing w:val="0"/>
          <w:sz w:val="31"/>
          <w:szCs w:val="31"/>
          <w:shd w:val="clear" w:fill="FFFFFF"/>
          <w:lang w:val="en-US" w:eastAsia="zh-CN"/>
        </w:rPr>
        <w:t>（五）</w:t>
      </w:r>
      <w:r>
        <w:rPr>
          <w:rStyle w:val="5"/>
          <w:rFonts w:ascii="楷体" w:hAnsi="楷体" w:eastAsia="楷体" w:cs="楷体"/>
          <w:i w:val="0"/>
          <w:iCs w:val="0"/>
          <w:caps w:val="0"/>
          <w:color w:val="333333"/>
          <w:spacing w:val="0"/>
          <w:sz w:val="31"/>
          <w:szCs w:val="31"/>
          <w:shd w:val="clear" w:fill="FFFFFF"/>
        </w:rPr>
        <w:t>监督保障工作情况。</w:t>
      </w:r>
      <w:r>
        <w:rPr>
          <w:rFonts w:hint="eastAsia" w:ascii="仿宋_GB2312" w:hAnsi="仿宋_GB2312" w:eastAsia="仿宋_GB2312" w:cs="仿宋_GB2312"/>
          <w:sz w:val="32"/>
          <w:szCs w:val="32"/>
          <w:lang w:val="en-US" w:eastAsia="zh-CN"/>
        </w:rPr>
        <w:t>一是领导重视，加强培训。主动学习相关条例规定，并积极参加区政府组织召开的政务公开业务培训暨工作推进会。二是分解任务，具体到人。为确保工作落实，逐项将各个栏目分解到相关股室，确保信息发布及时、准确。三是强化考核，狠抓落实。将政务公开工作与各项工作有机结合，齐抓共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二、主动公开政府信息情况</w:t>
      </w:r>
    </w:p>
    <w:tbl>
      <w:tblPr>
        <w:tblStyle w:val="3"/>
        <w:tblW w:w="8145" w:type="dxa"/>
        <w:tblInd w:w="0" w:type="dxa"/>
        <w:shd w:val="clear" w:color="auto" w:fill="auto"/>
        <w:tblLayout w:type="autofit"/>
        <w:tblCellMar>
          <w:top w:w="15" w:type="dxa"/>
          <w:left w:w="15" w:type="dxa"/>
          <w:bottom w:w="15" w:type="dxa"/>
          <w:right w:w="15" w:type="dxa"/>
        </w:tblCellMar>
      </w:tblPr>
      <w:tblGrid>
        <w:gridCol w:w="3120"/>
        <w:gridCol w:w="1875"/>
        <w:gridCol w:w="1275"/>
        <w:gridCol w:w="1875"/>
      </w:tblGrid>
      <w:tr>
        <w:tblPrEx>
          <w:shd w:val="clear" w:color="auto" w:fill="auto"/>
          <w:tblCellMar>
            <w:top w:w="15" w:type="dxa"/>
            <w:left w:w="15" w:type="dxa"/>
            <w:bottom w:w="15" w:type="dxa"/>
            <w:right w:w="15"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第二十条第（一）项</w:t>
            </w:r>
          </w:p>
        </w:tc>
      </w:tr>
      <w:tr>
        <w:tblPrEx>
          <w:tblCellMar>
            <w:top w:w="15" w:type="dxa"/>
            <w:left w:w="15" w:type="dxa"/>
            <w:bottom w:w="15" w:type="dxa"/>
            <w:right w:w="15"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本年新</w:t>
            </w:r>
            <w:r>
              <w:rPr>
                <w:rFonts w:hint="eastAsia" w:ascii="微软雅黑" w:hAnsi="微软雅黑" w:eastAsia="微软雅黑" w:cs="微软雅黑"/>
                <w:i w:val="0"/>
                <w:iCs w:val="0"/>
                <w:caps w:val="0"/>
                <w:color w:val="000000"/>
                <w:spacing w:val="0"/>
                <w:sz w:val="19"/>
                <w:szCs w:val="19"/>
              </w:rPr>
              <w:br w:type="textWrapping"/>
            </w:r>
            <w:r>
              <w:rPr>
                <w:rFonts w:hint="eastAsia" w:ascii="微软雅黑" w:hAnsi="微软雅黑" w:eastAsia="微软雅黑" w:cs="微软雅黑"/>
                <w:i w:val="0"/>
                <w:iCs w:val="0"/>
                <w:caps w:val="0"/>
                <w:color w:val="000000"/>
                <w:spacing w:val="0"/>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本年新</w:t>
            </w:r>
            <w:r>
              <w:rPr>
                <w:rFonts w:hint="eastAsia" w:ascii="微软雅黑" w:hAnsi="微软雅黑" w:eastAsia="微软雅黑" w:cs="微软雅黑"/>
                <w:i w:val="0"/>
                <w:iCs w:val="0"/>
                <w:caps w:val="0"/>
                <w:color w:val="000000"/>
                <w:spacing w:val="0"/>
                <w:sz w:val="19"/>
                <w:szCs w:val="19"/>
              </w:rPr>
              <w:br w:type="textWrapping"/>
            </w:r>
            <w:r>
              <w:rPr>
                <w:rFonts w:hint="eastAsia" w:ascii="微软雅黑" w:hAnsi="微软雅黑" w:eastAsia="微软雅黑" w:cs="微软雅黑"/>
                <w:i w:val="0"/>
                <w:iCs w:val="0"/>
                <w:caps w:val="0"/>
                <w:color w:val="000000"/>
                <w:spacing w:val="0"/>
                <w:sz w:val="19"/>
                <w:szCs w:val="19"/>
              </w:rPr>
              <w:t>公开数量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对外公开总数量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规章</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规范性文件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75"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第二十条第（五）项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处理决定数量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行政许可</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其他对外管理服务事项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第二十条第（六）项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本年增/减</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处理决定数量</w:t>
            </w:r>
          </w:p>
        </w:tc>
      </w:tr>
      <w:tr>
        <w:tblPrEx>
          <w:tblCellMar>
            <w:top w:w="15" w:type="dxa"/>
            <w:left w:w="15" w:type="dxa"/>
            <w:bottom w:w="15" w:type="dxa"/>
            <w:right w:w="15"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行政处罚</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9</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9</w:t>
            </w:r>
          </w:p>
        </w:tc>
      </w:tr>
      <w:tr>
        <w:tblPrEx>
          <w:tblCellMar>
            <w:top w:w="15" w:type="dxa"/>
            <w:left w:w="15" w:type="dxa"/>
            <w:bottom w:w="15" w:type="dxa"/>
            <w:right w:w="15"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行政强制</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260"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第二十条第（八）项</w:t>
            </w:r>
          </w:p>
        </w:tc>
      </w:tr>
      <w:tr>
        <w:tblPrEx>
          <w:tblCellMar>
            <w:top w:w="15" w:type="dxa"/>
            <w:left w:w="15" w:type="dxa"/>
            <w:bottom w:w="15" w:type="dxa"/>
            <w:right w:w="15"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本年增/减</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行政事业性收费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第二十条第（九）项</w:t>
            </w:r>
          </w:p>
        </w:tc>
      </w:tr>
      <w:tr>
        <w:tblPrEx>
          <w:tblCellMar>
            <w:top w:w="15" w:type="dxa"/>
            <w:left w:w="15" w:type="dxa"/>
            <w:bottom w:w="15" w:type="dxa"/>
            <w:right w:w="15"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信息内容</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采购总金额</w:t>
            </w:r>
          </w:p>
        </w:tc>
      </w:tr>
      <w:tr>
        <w:tblPrEx>
          <w:tblCellMar>
            <w:top w:w="15" w:type="dxa"/>
            <w:left w:w="15" w:type="dxa"/>
            <w:bottom w:w="15" w:type="dxa"/>
            <w:right w:w="15"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政府集中采购</w:t>
            </w:r>
          </w:p>
        </w:tc>
        <w:tc>
          <w:tcPr>
            <w:tcW w:w="1875" w:type="dxa"/>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8</w:t>
            </w:r>
          </w:p>
        </w:tc>
        <w:tc>
          <w:tcPr>
            <w:tcW w:w="3150" w:type="dxa"/>
            <w:gridSpan w:val="2"/>
            <w:tcBorders>
              <w:top w:val="nil"/>
              <w:left w:val="nil"/>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微软雅黑"/>
                <w:lang w:val="en-US" w:eastAsia="zh-CN"/>
              </w:rPr>
            </w:pPr>
            <w:r>
              <w:rPr>
                <w:rFonts w:hint="eastAsia" w:ascii="微软雅黑" w:hAnsi="微软雅黑" w:eastAsia="微软雅黑" w:cs="微软雅黑"/>
                <w:i w:val="0"/>
                <w:iCs w:val="0"/>
                <w:caps w:val="0"/>
                <w:color w:val="000000"/>
                <w:spacing w:val="0"/>
                <w:sz w:val="24"/>
                <w:szCs w:val="24"/>
              </w:rPr>
              <w:t>226974.81</w:t>
            </w:r>
            <w:r>
              <w:rPr>
                <w:rFonts w:hint="eastAsia" w:ascii="微软雅黑" w:hAnsi="微软雅黑" w:eastAsia="微软雅黑" w:cs="微软雅黑"/>
                <w:i w:val="0"/>
                <w:iCs w:val="0"/>
                <w:caps w:val="0"/>
                <w:color w:val="000000"/>
                <w:spacing w:val="0"/>
                <w:sz w:val="24"/>
                <w:szCs w:val="24"/>
                <w:lang w:eastAsia="zh-CN"/>
              </w:rPr>
              <w:t>元</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三、收到和处理政府信息公开申请情况</w:t>
      </w:r>
    </w:p>
    <w:tbl>
      <w:tblPr>
        <w:tblStyle w:val="3"/>
        <w:tblW w:w="837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95"/>
        <w:gridCol w:w="789"/>
        <w:gridCol w:w="1912"/>
        <w:gridCol w:w="747"/>
        <w:gridCol w:w="692"/>
        <w:gridCol w:w="692"/>
        <w:gridCol w:w="747"/>
        <w:gridCol w:w="900"/>
        <w:gridCol w:w="653"/>
        <w:gridCol w:w="6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5" w:hRule="atLeast"/>
        </w:trPr>
        <w:tc>
          <w:tcPr>
            <w:tcW w:w="3296"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（本列数据的勾稽关系为：第一项加第二项之和，等于第三项加第四项之和）</w:t>
            </w:r>
          </w:p>
        </w:tc>
        <w:tc>
          <w:tcPr>
            <w:tcW w:w="5083" w:type="dxa"/>
            <w:gridSpan w:val="7"/>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3296"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47"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自然人</w:t>
            </w:r>
          </w:p>
        </w:tc>
        <w:tc>
          <w:tcPr>
            <w:tcW w:w="3684"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法人或其他组织</w:t>
            </w:r>
          </w:p>
        </w:tc>
        <w:tc>
          <w:tcPr>
            <w:tcW w:w="652"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1" w:hRule="atLeast"/>
        </w:trPr>
        <w:tc>
          <w:tcPr>
            <w:tcW w:w="3296"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47"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商业企业</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科研机构</w:t>
            </w:r>
          </w:p>
        </w:tc>
        <w:tc>
          <w:tcPr>
            <w:tcW w:w="747"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社会公益组织</w:t>
            </w:r>
          </w:p>
        </w:tc>
        <w:tc>
          <w:tcPr>
            <w:tcW w:w="90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法律服务机构</w:t>
            </w:r>
          </w:p>
        </w:tc>
        <w:tc>
          <w:tcPr>
            <w:tcW w:w="65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w:t>
            </w:r>
          </w:p>
        </w:tc>
        <w:tc>
          <w:tcPr>
            <w:tcW w:w="652"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3296"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一、本年新收政府信息公开申请数量</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default" w:eastAsiaTheme="minorEastAsia"/>
                <w:lang w:val="en-US" w:eastAsia="zh-CN"/>
              </w:rPr>
            </w:pPr>
            <w:r>
              <w:rPr>
                <w:rFonts w:hint="eastAsia" w:ascii="微软雅黑" w:hAnsi="微软雅黑" w:eastAsia="微软雅黑" w:cs="微软雅黑"/>
                <w:i w:val="0"/>
                <w:iCs w:val="0"/>
                <w:caps w:val="0"/>
                <w:color w:val="000000"/>
                <w:spacing w:val="0"/>
                <w:sz w:val="24"/>
                <w:szCs w:val="24"/>
                <w:lang w:val="en-US" w:eastAsia="zh-CN"/>
              </w:rPr>
              <w:t>9</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default" w:eastAsiaTheme="minorEastAsia"/>
                <w:lang w:val="en-US" w:eastAsia="zh-CN"/>
              </w:rPr>
            </w:pPr>
            <w:r>
              <w:rPr>
                <w:rFonts w:hint="eastAsia" w:ascii="微软雅黑" w:hAnsi="微软雅黑" w:eastAsia="微软雅黑" w:cs="微软雅黑"/>
                <w:i w:val="0"/>
                <w:iCs w:val="0"/>
                <w:caps w:val="0"/>
                <w:color w:val="000000"/>
                <w:spacing w:val="0"/>
                <w:sz w:val="24"/>
                <w:szCs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3296"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二、上年结转政府信息公开申请数量</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三、本年度办理结果</w:t>
            </w: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ascii="楷体" w:hAnsi="楷体" w:eastAsia="楷体" w:cs="楷体"/>
                <w:i w:val="0"/>
                <w:iCs w:val="0"/>
                <w:caps w:val="0"/>
                <w:color w:val="000000"/>
                <w:spacing w:val="0"/>
                <w:sz w:val="19"/>
                <w:szCs w:val="19"/>
              </w:rPr>
              <w:t>（一）予以公开</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（二）部分公开（区分处理的，只计这一情形，不计其他情形）</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（三）不予公开</w:t>
            </w: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1.属于国家秘密</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2.其他法律行政法规禁止公开</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3.危及“三安全一稳定”</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4.保护第三方合法权益</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5.属于三类内部事务信息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6.属于四类过程性信息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7.属于行政执法案卷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9</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8.属于行政查询事项</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（四）无法提供</w:t>
            </w: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1.本机关不掌握相关政府信息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2.没有现成信息需要另行制作</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3.补正后申请内容仍不明确</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（五）不予处理</w:t>
            </w: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1.信访举报投诉类申请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2.重复申请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3.要求提供公开出版物</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55"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4.无正当理由大量反复申请</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53"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89"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19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5.要求行政机关确认或重新出具已获取信息</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（六）其他处理</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4" w:hRule="atLeast"/>
        </w:trPr>
        <w:tc>
          <w:tcPr>
            <w:tcW w:w="59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2701" w:type="dxa"/>
            <w:gridSpan w:val="2"/>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楷体" w:hAnsi="楷体" w:eastAsia="楷体" w:cs="楷体"/>
                <w:i w:val="0"/>
                <w:iCs w:val="0"/>
                <w:caps w:val="0"/>
                <w:color w:val="000000"/>
                <w:spacing w:val="0"/>
                <w:sz w:val="19"/>
                <w:szCs w:val="19"/>
              </w:rPr>
              <w:t>（七）总计</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9</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rPr>
                <w:rFonts w:hint="eastAsia" w:eastAsiaTheme="minorEastAsia"/>
                <w:lang w:eastAsia="zh-CN"/>
              </w:rPr>
            </w:pPr>
            <w:r>
              <w:rPr>
                <w:rFonts w:hint="eastAsia" w:ascii="微软雅黑" w:hAnsi="微软雅黑" w:eastAsia="微软雅黑" w:cs="微软雅黑"/>
                <w:i w:val="0"/>
                <w:iCs w:val="0"/>
                <w:caps w:val="0"/>
                <w:color w:val="000000"/>
                <w:spacing w:val="0"/>
                <w:sz w:val="24"/>
                <w:szCs w:val="24"/>
                <w:lang w:val="en-US" w:eastAsia="zh-CN"/>
              </w:rPr>
              <w:t>9</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69" w:hRule="atLeast"/>
        </w:trPr>
        <w:tc>
          <w:tcPr>
            <w:tcW w:w="3296"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pPr>
            <w:r>
              <w:rPr>
                <w:rFonts w:hint="eastAsia" w:ascii="微软雅黑" w:hAnsi="微软雅黑" w:eastAsia="微软雅黑" w:cs="微软雅黑"/>
                <w:i w:val="0"/>
                <w:iCs w:val="0"/>
                <w:caps w:val="0"/>
                <w:color w:val="000000"/>
                <w:spacing w:val="0"/>
                <w:sz w:val="19"/>
                <w:szCs w:val="19"/>
              </w:rPr>
              <w:t>四、结转下年度继续办理</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747"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90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bl>
    <w:p>
      <w:pPr>
        <w:pStyle w:val="2"/>
        <w:keepNext w:val="0"/>
        <w:keepLines w:val="0"/>
        <w:widowControl/>
        <w:suppressLineNumbers w:val="0"/>
        <w:shd w:val="clear" w:fill="FFFFFF"/>
        <w:spacing w:before="240" w:beforeAutospacing="0" w:after="75" w:afterAutospacing="0" w:line="450" w:lineRule="atLeast"/>
        <w:ind w:left="0" w:right="0" w:firstLine="640" w:firstLineChars="200"/>
        <w:rPr>
          <w:rFonts w:hint="eastAsia" w:ascii="微软雅黑" w:hAnsi="微软雅黑" w:eastAsia="微软雅黑" w:cs="微软雅黑"/>
          <w:i w:val="0"/>
          <w:iCs w:val="0"/>
          <w:caps w:val="0"/>
          <w:color w:val="000000"/>
          <w:spacing w:val="0"/>
          <w:sz w:val="27"/>
          <w:szCs w:val="27"/>
        </w:rPr>
      </w:pPr>
      <w:r>
        <w:rPr>
          <w:rFonts w:hint="eastAsia" w:ascii="黑体" w:hAnsi="黑体" w:eastAsia="黑体" w:cs="黑体"/>
          <w:b w:val="0"/>
          <w:bCs/>
          <w:i w:val="0"/>
          <w:caps w:val="0"/>
          <w:color w:val="333333"/>
          <w:spacing w:val="0"/>
          <w:kern w:val="0"/>
          <w:sz w:val="32"/>
          <w:szCs w:val="32"/>
          <w:shd w:val="clear" w:fill="FFFFFF"/>
          <w:lang w:val="en-US" w:eastAsia="zh-CN" w:bidi="ar"/>
        </w:rPr>
        <w:t>四、政府信息公开行政复议、行政诉讼情况</w:t>
      </w:r>
    </w:p>
    <w:tbl>
      <w:tblPr>
        <w:tblStyle w:val="3"/>
        <w:tblW w:w="835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2"/>
        <w:gridCol w:w="552"/>
        <w:gridCol w:w="552"/>
        <w:gridCol w:w="552"/>
        <w:gridCol w:w="624"/>
        <w:gridCol w:w="511"/>
        <w:gridCol w:w="552"/>
        <w:gridCol w:w="552"/>
        <w:gridCol w:w="552"/>
        <w:gridCol w:w="569"/>
        <w:gridCol w:w="552"/>
        <w:gridCol w:w="552"/>
        <w:gridCol w:w="552"/>
        <w:gridCol w:w="552"/>
        <w:gridCol w:w="5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74" w:hRule="atLeast"/>
        </w:trPr>
        <w:tc>
          <w:tcPr>
            <w:tcW w:w="2832"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行政复议</w:t>
            </w:r>
          </w:p>
        </w:tc>
        <w:tc>
          <w:tcPr>
            <w:tcW w:w="5527" w:type="dxa"/>
            <w:gridSpan w:val="10"/>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4" w:hRule="atLeast"/>
        </w:trPr>
        <w:tc>
          <w:tcPr>
            <w:tcW w:w="552"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552"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552"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552"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624" w:type="dxa"/>
            <w:vMerge w:val="restart"/>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c>
          <w:tcPr>
            <w:tcW w:w="2736"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未经复议直接起诉</w:t>
            </w:r>
          </w:p>
        </w:tc>
        <w:tc>
          <w:tcPr>
            <w:tcW w:w="2791" w:type="dxa"/>
            <w:gridSpan w:val="5"/>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04" w:hRule="atLeast"/>
        </w:trPr>
        <w:tc>
          <w:tcPr>
            <w:tcW w:w="552"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2"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2"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2"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24" w:type="dxa"/>
            <w:vMerge w:val="continue"/>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1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569"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结果维持</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结果纠正</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其他结果</w:t>
            </w:r>
          </w:p>
        </w:tc>
        <w:tc>
          <w:tcPr>
            <w:tcW w:w="55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尚未审结</w:t>
            </w:r>
          </w:p>
        </w:tc>
        <w:tc>
          <w:tcPr>
            <w:tcW w:w="58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180" w:afterAutospacing="0"/>
              <w:ind w:left="0" w:right="0"/>
              <w:jc w:val="center"/>
            </w:pPr>
            <w:r>
              <w:rPr>
                <w:rFonts w:hint="eastAsia" w:ascii="微软雅黑" w:hAnsi="微软雅黑" w:eastAsia="微软雅黑" w:cs="微软雅黑"/>
                <w:i w:val="0"/>
                <w:iCs w:val="0"/>
                <w:caps w:val="0"/>
                <w:color w:val="000000"/>
                <w:spacing w:val="0"/>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86" w:hRule="atLeast"/>
        </w:trPr>
        <w:tc>
          <w:tcPr>
            <w:tcW w:w="552"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62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11"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69"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5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c>
          <w:tcPr>
            <w:tcW w:w="583"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eastAsia" w:ascii="微软雅黑" w:hAnsi="微软雅黑" w:eastAsia="微软雅黑" w:cs="微软雅黑"/>
                <w:i w:val="0"/>
                <w:iCs w:val="0"/>
                <w:caps w:val="0"/>
                <w:color w:val="000000"/>
                <w:spacing w:val="0"/>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i w:val="0"/>
          <w:caps w:val="0"/>
          <w:color w:val="333333"/>
          <w:spacing w:val="0"/>
          <w:kern w:val="0"/>
          <w:sz w:val="32"/>
          <w:szCs w:val="32"/>
          <w:shd w:val="clear" w:fill="FFFFFF"/>
          <w:lang w:val="en-US" w:eastAsia="zh-CN" w:bidi="ar"/>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（一）工作中存在的主要问题和困难。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2020年，在上级部门的正确指导下，我局在政务公开工作方面取得了一定的成效，但仍然存在一些不足和差距。</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一是依法公开、主动公开意识有待进一步加强。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二是政府信息公开内容还需进一步规范。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i w:val="0"/>
          <w:caps w:val="0"/>
          <w:color w:val="333333"/>
          <w:spacing w:val="0"/>
          <w:kern w:val="0"/>
          <w:sz w:val="32"/>
          <w:szCs w:val="32"/>
          <w:shd w:val="clear" w:fill="FFFFFF"/>
          <w:lang w:val="en-US" w:eastAsia="zh-CN" w:bidi="ar"/>
        </w:rPr>
      </w:pPr>
      <w:r>
        <w:rPr>
          <w:rFonts w:hint="eastAsia" w:ascii="楷体" w:hAnsi="楷体" w:eastAsia="楷体" w:cs="楷体"/>
          <w:b/>
          <w:bCs/>
          <w:i w:val="0"/>
          <w:caps w:val="0"/>
          <w:color w:val="333333"/>
          <w:spacing w:val="0"/>
          <w:kern w:val="0"/>
          <w:sz w:val="32"/>
          <w:szCs w:val="32"/>
          <w:shd w:val="clear" w:fill="FFFFFF"/>
          <w:lang w:val="en-US" w:eastAsia="zh-CN" w:bidi="ar"/>
        </w:rPr>
        <w:t>（二）具体的解决办法和改进措施。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进一步提高对政务公开工作重要性的认识，把政务公开工作列为年度工作重点任务，进一步明确工作机构的职责和任务，明确专人负责政府信息公开的组织协调、维护更新等工作，确保信息公开工作扎实、有序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加大宣传力度，塑造良好的政府信息公开工作氛围。广泛开展系列政府信息公开工作宣传活动，倡导积极、全面、合法、透明的政府信息，为公众提供及时、准确、实用的信息。以政府中心工作为主轴，以公众关心的热点、难点问题为导向，全面、及时地公开政府信息，确保政府信息公开工作的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i w:val="0"/>
          <w:caps w:val="0"/>
          <w:color w:val="333333"/>
          <w:spacing w:val="0"/>
          <w:kern w:val="0"/>
          <w:sz w:val="32"/>
          <w:szCs w:val="32"/>
          <w:shd w:val="clear" w:fill="FFFFFF"/>
          <w:lang w:val="en-US" w:eastAsia="zh-CN" w:bidi="ar"/>
        </w:rPr>
      </w:pPr>
      <w:r>
        <w:rPr>
          <w:rFonts w:hint="eastAsia" w:ascii="黑体" w:hAnsi="黑体" w:eastAsia="黑体" w:cs="黑体"/>
          <w:b w:val="0"/>
          <w:bCs/>
          <w:i w:val="0"/>
          <w:caps w:val="0"/>
          <w:color w:val="333333"/>
          <w:spacing w:val="0"/>
          <w:kern w:val="0"/>
          <w:sz w:val="32"/>
          <w:szCs w:val="32"/>
          <w:shd w:val="clear" w:fill="FFFFFF"/>
          <w:lang w:val="en-US" w:eastAsia="zh-CN" w:bidi="ar"/>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92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E1DC8"/>
    <w:rsid w:val="0DB14371"/>
    <w:rsid w:val="11592601"/>
    <w:rsid w:val="14B675D1"/>
    <w:rsid w:val="16A45FD2"/>
    <w:rsid w:val="179055F8"/>
    <w:rsid w:val="19CB6C46"/>
    <w:rsid w:val="232170FC"/>
    <w:rsid w:val="237E2F57"/>
    <w:rsid w:val="32C14CE6"/>
    <w:rsid w:val="353E1DC8"/>
    <w:rsid w:val="35AD4153"/>
    <w:rsid w:val="36373AC4"/>
    <w:rsid w:val="37522927"/>
    <w:rsid w:val="390269AA"/>
    <w:rsid w:val="3F217C3B"/>
    <w:rsid w:val="3FBC46B6"/>
    <w:rsid w:val="42A9011B"/>
    <w:rsid w:val="4B571485"/>
    <w:rsid w:val="4D07074E"/>
    <w:rsid w:val="52603790"/>
    <w:rsid w:val="54C73505"/>
    <w:rsid w:val="5993619E"/>
    <w:rsid w:val="5A8341F1"/>
    <w:rsid w:val="6D7E760C"/>
    <w:rsid w:val="6EBC0ADE"/>
    <w:rsid w:val="6FE91599"/>
    <w:rsid w:val="7C7C57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2021-04-28T01:38:00Z</dcterms:created>
  <dc:creator>Administrator</dc:creator>
  <cp:lastModifiedBy>Administrator</cp:lastModifiedBy>
  <dcterms:modified xsi:type="dcterms:W3CDTF">2021-05-13T01:16:14Z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65CDD95FD05745BAB2AA6B6E453759F3</vt:lpwstr>
  </property>
</Properties>
</file>