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袁州区林业局2022年政府信息公开</w:t>
      </w:r>
    </w:p>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spacing w:line="600" w:lineRule="exact"/>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本年度报告根据《中华人民共和国政府信息公开条例》（以下简称《条例》）有关规定，按照国务院办公厅政府信息与政务公开办公室印发《关于做好年度报告编制发布工作的通知》（国办公开办函〔2021〕30号）要求，结合袁州区林业局工作实际情况撰写，全文包括总体情况、主动公开政府信息情况、收到和处理政府信息公开申请情况、政府信息公开行政复议、行政诉讼情况、存在的主要问题及改进情况、其他需要报告的事项六部分，并附相关指标统计附表等。本年度报告所列数据统计期限自2022年1月1日起至2022年12月31日止。</w:t>
      </w:r>
      <w:r>
        <w:rPr>
          <w:rFonts w:hint="eastAsia" w:ascii="仿宋_GB2312" w:hAnsi="仿宋_GB2312" w:eastAsia="仿宋_GB2312" w:cs="仿宋_GB2312"/>
          <w:color w:val="auto"/>
          <w:sz w:val="32"/>
          <w:szCs w:val="32"/>
        </w:rPr>
        <w:t>本报告电子版可在袁州区政府门户网站（http://www.yzq.gov.cn）下载。如对本报告有疑问，请与</w:t>
      </w:r>
      <w:r>
        <w:rPr>
          <w:rFonts w:hint="eastAsia" w:ascii="仿宋_GB2312" w:hAnsi="仿宋_GB2312" w:eastAsia="仿宋_GB2312" w:cs="仿宋_GB2312"/>
          <w:color w:val="auto"/>
          <w:sz w:val="32"/>
          <w:szCs w:val="32"/>
          <w:lang w:val="en-US" w:eastAsia="zh-CN"/>
        </w:rPr>
        <w:t>袁州区林业局行政办公室</w:t>
      </w:r>
      <w:r>
        <w:rPr>
          <w:rFonts w:hint="eastAsia" w:ascii="仿宋_GB2312" w:hAnsi="仿宋_GB2312" w:eastAsia="仿宋_GB2312" w:cs="仿宋_GB2312"/>
          <w:color w:val="auto"/>
          <w:sz w:val="32"/>
          <w:szCs w:val="32"/>
        </w:rPr>
        <w:t>联系（地址：宜春市袁州区开泰路袁州大厦</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楼西边</w:t>
      </w:r>
      <w:r>
        <w:rPr>
          <w:rFonts w:hint="eastAsia" w:ascii="仿宋_GB2312" w:hAnsi="仿宋_GB2312" w:eastAsia="仿宋_GB2312" w:cs="仿宋_GB2312"/>
          <w:color w:val="auto"/>
          <w:sz w:val="32"/>
          <w:szCs w:val="32"/>
          <w:lang w:val="en-US" w:eastAsia="zh-CN"/>
        </w:rPr>
        <w:t>530</w:t>
      </w:r>
      <w:r>
        <w:rPr>
          <w:rFonts w:hint="eastAsia" w:ascii="仿宋_GB2312" w:hAnsi="仿宋_GB2312" w:eastAsia="仿宋_GB2312" w:cs="仿宋_GB2312"/>
          <w:color w:val="auto"/>
          <w:sz w:val="32"/>
          <w:szCs w:val="32"/>
        </w:rPr>
        <w:t>办公室，邮编：336000，联系电话：0795-</w:t>
      </w:r>
      <w:r>
        <w:rPr>
          <w:rFonts w:hint="eastAsia" w:ascii="仿宋_GB2312" w:hAnsi="仿宋_GB2312" w:eastAsia="仿宋_GB2312" w:cs="仿宋_GB2312"/>
          <w:color w:val="auto"/>
          <w:sz w:val="32"/>
          <w:szCs w:val="32"/>
          <w:lang w:val="en-US" w:eastAsia="zh-CN"/>
        </w:rPr>
        <w:t>3288203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总体情况</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lang w:eastAsia="zh-CN"/>
        </w:rPr>
        <w:t>袁州区林业局坚持以习近平新时代中国特色社会主义思想为指导，全面贯彻党的各项会议精神和习近平总书记视察江西重要讲话精神，深入落实党中央、国务院关于全面推进政务公开工作的部署，坚持以人民为中心的发展理念，聚焦市场主体和社会公众关切，深化政务公开标准化规范化，全面提升工作能级，着力打造服务型部门，努力构建行为规范、运转协调、公正透明、廉洁高效的工作机制，严格践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以人民为中心深化新时代政务公开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的发展理念，全面提升政务公开标准化、规范化水平，纵深推进深化发展和改革双“一号工程”，持续推动新形势下“五型”政府建设走深走实，不断放大政务公开引导服务、监督以及促进经济社会发展的功能效应，</w:t>
      </w:r>
      <w:r>
        <w:rPr>
          <w:rFonts w:hint="eastAsia" w:ascii="仿宋_GB2312" w:hAnsi="仿宋_GB2312" w:eastAsia="仿宋_GB2312" w:cs="仿宋_GB2312"/>
          <w:color w:val="auto"/>
          <w:sz w:val="32"/>
          <w:szCs w:val="32"/>
        </w:rPr>
        <w:t>积极发挥新时代政务公开在推进国家治理体系和治理能力现代化中的作用。</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（一）主动公开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年，袁州区林业局在袁州区政府网站上设立了政府信息公开专栏，发布各类政府信息，并及时更新最新的政府信息。</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主动向社会公开各类政府信息</w:t>
      </w:r>
      <w:r>
        <w:rPr>
          <w:rFonts w:hint="eastAsia" w:ascii="仿宋_GB2312" w:hAnsi="仿宋_GB2312" w:eastAsia="仿宋_GB2312" w:cs="仿宋_GB2312"/>
          <w:color w:val="auto"/>
          <w:sz w:val="32"/>
          <w:szCs w:val="32"/>
          <w:lang w:val="en-US" w:eastAsia="zh-CN"/>
        </w:rPr>
        <w:t>78</w:t>
      </w:r>
      <w:r>
        <w:rPr>
          <w:rFonts w:hint="eastAsia" w:ascii="仿宋_GB2312" w:hAnsi="仿宋_GB2312" w:eastAsia="仿宋_GB2312" w:cs="仿宋_GB2312"/>
          <w:color w:val="auto"/>
          <w:sz w:val="32"/>
          <w:szCs w:val="32"/>
        </w:rPr>
        <w:t>条。</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（二）依申请公开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共受理群众网上申请政府信息公开申请0件。本年度涉及政府信息公开的行政复议、行政诉讼案件为0件。</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（三）政府信息管理</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确保行政审批公开、透明、公正、快捷，同时积极稳妥地做好行政审批的依申请公开工作。根据职能，积极推动林业信息的主动公开，保障公众的知情权，提高行政执法公信力，主动公开有关信息，积极稳妥地做好行政处罚信息的依申请公开工作。配合区政务信息网的建设，及时跟进做好我局的政务信息网上公开积极推进网上政务服务能力的优化升级，严格按照相关要求编制我局政务信息，积极完善政府信息公开专栏。</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（四）平台建设方面</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把信息公开网站作为政府信息公开第一平台进行建设，组织安排专人定期检查网站公开内容，对内容明显有误的信息以及长期未更新的问题，第一时间整改到位，做到立行立改。</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（五）监督保障方面</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加强政府网站的监督保障作用，我局高度重视，精心部署，一是积极安排专人参与年度政务公开工作培训、专项业务培训等培训会；二是政务信息发布前，严格落实“三审三校”制度。三是强化考核，狠抓落实，将政务工作与各项重点工作有机结合，保障我局年度公开工作推进落实。</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220.46</w:t>
            </w:r>
          </w:p>
        </w:tc>
      </w:tr>
    </w:tbl>
    <w:p>
      <w:pPr>
        <w:keepNext w:val="0"/>
        <w:keepLines w:val="0"/>
        <w:widowControl/>
        <w:suppressLineNumbers w:val="0"/>
        <w:jc w:val="left"/>
        <w:rPr>
          <w:rFonts w:hint="eastAsia" w:ascii="宋体" w:hAnsi="宋体" w:eastAsia="宋体" w:cs="宋体"/>
          <w:sz w:val="21"/>
          <w:szCs w:val="21"/>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1"/>
          <w:szCs w:val="21"/>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19"/>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（本列数据的勾稽关系为：第一项加第二项之和，等于第三项加第四项之和）</w:t>
            </w:r>
          </w:p>
        </w:tc>
        <w:tc>
          <w:tcPr>
            <w:tcW w:w="481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自然人</w:t>
            </w:r>
          </w:p>
        </w:tc>
        <w:tc>
          <w:tcPr>
            <w:tcW w:w="3441"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法律服务机构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三、本年度办理结果</w:t>
            </w: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（三）不予公开</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（四）无法提供</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（五）不予处理</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321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（六）其他处理</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1"/>
                <w:szCs w:val="21"/>
              </w:rPr>
            </w:pP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iCs w:val="0"/>
          <w:caps w:val="0"/>
          <w:color w:val="333333"/>
          <w:spacing w:val="0"/>
          <w:sz w:val="21"/>
          <w:szCs w:val="21"/>
          <w:shd w:val="clear" w:fill="FFFFFF"/>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其他</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尚未</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其他</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尚未</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其他</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尚未</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bl>
    <w:p>
      <w:pPr>
        <w:widowControl/>
        <w:shd w:val="clear" w:color="auto" w:fill="FFFFFF"/>
        <w:spacing w:line="348" w:lineRule="atLeast"/>
        <w:ind w:firstLine="513" w:firstLineChars="213"/>
        <w:rPr>
          <w:rFonts w:hint="eastAsia" w:ascii="宋体" w:hAnsi="宋体" w:eastAsia="宋体" w:cs="宋体"/>
          <w:b/>
          <w:bCs/>
          <w:color w:val="333333"/>
          <w:kern w:val="0"/>
          <w:sz w:val="24"/>
          <w:szCs w:val="24"/>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五、存在的主要问题及改进情况</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我局20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年政府信息公开工作从总体来看，运行状况良好，但是也存在一些不足。主要表现在以下方面：一是政府信息公开在</w:t>
      </w:r>
      <w:r>
        <w:rPr>
          <w:rFonts w:hint="eastAsia" w:ascii="仿宋_GB2312" w:hAnsi="仿宋_GB2312" w:eastAsia="仿宋_GB2312" w:cs="仿宋_GB2312"/>
          <w:color w:val="auto"/>
          <w:sz w:val="32"/>
          <w:szCs w:val="32"/>
          <w:lang w:eastAsia="zh-CN"/>
        </w:rPr>
        <w:t>内容</w:t>
      </w:r>
      <w:r>
        <w:rPr>
          <w:rFonts w:hint="eastAsia" w:ascii="仿宋_GB2312" w:hAnsi="仿宋_GB2312" w:eastAsia="仿宋_GB2312" w:cs="仿宋_GB2312"/>
          <w:color w:val="auto"/>
          <w:sz w:val="32"/>
          <w:szCs w:val="32"/>
        </w:rPr>
        <w:t>质量</w:t>
      </w:r>
      <w:r>
        <w:rPr>
          <w:rFonts w:hint="eastAsia" w:ascii="仿宋_GB2312" w:hAnsi="仿宋_GB2312" w:eastAsia="仿宋_GB2312" w:cs="仿宋_GB2312"/>
          <w:color w:val="auto"/>
          <w:sz w:val="32"/>
          <w:szCs w:val="32"/>
          <w:lang w:eastAsia="zh-CN"/>
        </w:rPr>
        <w:t>不够优质</w:t>
      </w:r>
      <w:r>
        <w:rPr>
          <w:rFonts w:hint="eastAsia" w:ascii="仿宋_GB2312" w:hAnsi="仿宋_GB2312" w:eastAsia="仿宋_GB2312" w:cs="仿宋_GB2312"/>
          <w:color w:val="auto"/>
          <w:sz w:val="32"/>
          <w:szCs w:val="32"/>
        </w:rPr>
        <w:t>；二是政府信息公开</w:t>
      </w:r>
      <w:r>
        <w:rPr>
          <w:rFonts w:hint="eastAsia" w:ascii="仿宋_GB2312" w:hAnsi="仿宋_GB2312" w:eastAsia="仿宋_GB2312" w:cs="仿宋_GB2312"/>
          <w:color w:val="auto"/>
          <w:sz w:val="32"/>
          <w:szCs w:val="32"/>
          <w:lang w:eastAsia="zh-CN"/>
        </w:rPr>
        <w:t>时效性有待加强；三是</w:t>
      </w:r>
      <w:r>
        <w:rPr>
          <w:rFonts w:hint="eastAsia" w:ascii="仿宋_GB2312" w:hAnsi="仿宋_GB2312" w:eastAsia="仿宋_GB2312" w:cs="仿宋_GB2312"/>
          <w:color w:val="auto"/>
          <w:sz w:val="32"/>
          <w:szCs w:val="32"/>
        </w:rPr>
        <w:t>政务公开涉及面广、政策性强上还要加强。</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针对存在的问题和不足，下一步我局将采取措施加以改进：一是进一步提高思想认识，加强组织领导，增强工作的积极性、主动性，强化业务培训、落实工作措施、提高工作质量，不断提升政府信息公开工作实效。</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是加强组织领导，强化信息公开工作意识，壮大信息公开工作队伍，落实岗位职责，针对换岗频繁，强调做好信息公开工作交接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严格落实“三审三校”制度。</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是加大培训力度，采取多种培训方式，不断提高信息公开人员业务水平。</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六、其他需要报告的事项</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2022年度，本机关无收取</w:t>
      </w:r>
      <w:bookmarkStart w:id="0" w:name="_GoBack"/>
      <w:bookmarkEnd w:id="0"/>
      <w:r>
        <w:rPr>
          <w:rFonts w:hint="eastAsia" w:ascii="仿宋_GB2312" w:hAnsi="仿宋_GB2312" w:eastAsia="仿宋_GB2312" w:cs="仿宋_GB2312"/>
          <w:color w:val="auto"/>
          <w:sz w:val="32"/>
          <w:szCs w:val="32"/>
        </w:rPr>
        <w:t>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ZDdkMTY2MDQ5OTVkY2YyYTNjYmU5ZDViMjBhZGEifQ=="/>
  </w:docVars>
  <w:rsids>
    <w:rsidRoot w:val="00000000"/>
    <w:rsid w:val="00FE62B0"/>
    <w:rsid w:val="05FB12E4"/>
    <w:rsid w:val="06C40D61"/>
    <w:rsid w:val="072F4BA5"/>
    <w:rsid w:val="0BDC2293"/>
    <w:rsid w:val="0E11306C"/>
    <w:rsid w:val="0F42566A"/>
    <w:rsid w:val="0FE32618"/>
    <w:rsid w:val="17534F7D"/>
    <w:rsid w:val="1A5130CB"/>
    <w:rsid w:val="1AC90DBB"/>
    <w:rsid w:val="1B931963"/>
    <w:rsid w:val="1D3D0268"/>
    <w:rsid w:val="1F1E5D8B"/>
    <w:rsid w:val="23B06487"/>
    <w:rsid w:val="2480713E"/>
    <w:rsid w:val="26DB643D"/>
    <w:rsid w:val="35004F81"/>
    <w:rsid w:val="39845912"/>
    <w:rsid w:val="3CCB2319"/>
    <w:rsid w:val="472077A9"/>
    <w:rsid w:val="484F69EF"/>
    <w:rsid w:val="486758D6"/>
    <w:rsid w:val="519D4381"/>
    <w:rsid w:val="566E50F8"/>
    <w:rsid w:val="56857A37"/>
    <w:rsid w:val="574E4415"/>
    <w:rsid w:val="5AA776B0"/>
    <w:rsid w:val="5FCE6A83"/>
    <w:rsid w:val="65321000"/>
    <w:rsid w:val="66FE6DAC"/>
    <w:rsid w:val="6DB26CBC"/>
    <w:rsid w:val="6EB526D3"/>
    <w:rsid w:val="6EC41F3F"/>
    <w:rsid w:val="6FB14294"/>
    <w:rsid w:val="70831C0C"/>
    <w:rsid w:val="7B440FF1"/>
    <w:rsid w:val="7B8E578B"/>
    <w:rsid w:val="7B9A6B62"/>
    <w:rsid w:val="7D7C7DE7"/>
    <w:rsid w:val="D5BF878D"/>
    <w:rsid w:val="FDD7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2435</Words>
  <Characters>2526</Characters>
  <Lines>0</Lines>
  <Paragraphs>0</Paragraphs>
  <TotalTime>26</TotalTime>
  <ScaleCrop>false</ScaleCrop>
  <LinksUpToDate>false</LinksUpToDate>
  <CharactersWithSpaces>2526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2021-01-07T09:14:00Z</dcterms:created>
  <dc:creator>Administrator</dc:creator>
  <cp:lastModifiedBy>Administrator</cp:lastModifiedBy>
  <cp:lastPrinted>2021-12-28T07:25:00Z</cp:lastPrinted>
  <dcterms:modified xsi:type="dcterms:W3CDTF">2023-01-12T07:02:01Z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93C42CF60B8546499201300C77A0534A</vt:lpwstr>
  </property>
</Properties>
</file>