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C7" w:rsidRDefault="00FE3FC7" w:rsidP="00FE3FC7">
      <w:pPr>
        <w:widowControl/>
        <w:spacing w:line="600" w:lineRule="exact"/>
        <w:jc w:val="center"/>
        <w:rPr>
          <w:rFonts w:ascii="方正小标宋简体" w:eastAsia="方正小标宋简体" w:hAnsi="宋体" w:cs="宋体" w:hint="eastAsia"/>
          <w:bCs/>
          <w:kern w:val="0"/>
          <w:sz w:val="44"/>
          <w:szCs w:val="44"/>
        </w:rPr>
      </w:pPr>
      <w:r w:rsidRPr="00FE3FC7">
        <w:rPr>
          <w:rFonts w:ascii="方正小标宋简体" w:eastAsia="方正小标宋简体" w:hAnsi="宋体" w:cs="宋体" w:hint="eastAsia"/>
          <w:bCs/>
          <w:kern w:val="0"/>
          <w:sz w:val="44"/>
          <w:szCs w:val="44"/>
        </w:rPr>
        <w:t>袁州区卫计委2018年度政府信息</w:t>
      </w:r>
    </w:p>
    <w:p w:rsidR="00FE3FC7" w:rsidRPr="00FE3FC7" w:rsidRDefault="00FE3FC7" w:rsidP="00FE3FC7">
      <w:pPr>
        <w:widowControl/>
        <w:spacing w:line="600" w:lineRule="exact"/>
        <w:jc w:val="center"/>
        <w:rPr>
          <w:rFonts w:ascii="方正小标宋简体" w:eastAsia="方正小标宋简体" w:hAnsi="宋体" w:cs="宋体" w:hint="eastAsia"/>
          <w:kern w:val="0"/>
          <w:sz w:val="44"/>
          <w:szCs w:val="44"/>
        </w:rPr>
      </w:pPr>
      <w:r w:rsidRPr="00FE3FC7">
        <w:rPr>
          <w:rFonts w:ascii="方正小标宋简体" w:eastAsia="方正小标宋简体" w:hAnsi="宋体" w:cs="宋体" w:hint="eastAsia"/>
          <w:bCs/>
          <w:kern w:val="0"/>
          <w:sz w:val="44"/>
          <w:szCs w:val="44"/>
        </w:rPr>
        <w:t>公开工作年度报告</w:t>
      </w:r>
    </w:p>
    <w:p w:rsidR="00FE3FC7" w:rsidRDefault="00FE3FC7" w:rsidP="00FE3FC7">
      <w:pPr>
        <w:widowControl/>
        <w:shd w:val="clear" w:color="auto" w:fill="FFFFFF"/>
        <w:spacing w:line="600" w:lineRule="exact"/>
        <w:ind w:firstLine="495"/>
        <w:rPr>
          <w:rFonts w:ascii="MS Mincho" w:hAnsi="MS Mincho" w:cs="MS Mincho" w:hint="eastAsia"/>
          <w:color w:val="333333"/>
          <w:kern w:val="0"/>
          <w:sz w:val="24"/>
          <w:szCs w:val="24"/>
          <w:bdr w:val="none" w:sz="0" w:space="0" w:color="auto" w:frame="1"/>
        </w:rPr>
      </w:pPr>
      <w:r w:rsidRPr="00FE3FC7">
        <w:rPr>
          <w:rFonts w:ascii="MS Mincho" w:eastAsia="MS Mincho" w:hAnsi="MS Mincho" w:cs="MS Mincho" w:hint="eastAsia"/>
          <w:color w:val="333333"/>
          <w:kern w:val="0"/>
          <w:sz w:val="24"/>
          <w:szCs w:val="24"/>
          <w:bdr w:val="none" w:sz="0" w:space="0" w:color="auto" w:frame="1"/>
        </w:rPr>
        <w:t>​​</w:t>
      </w:r>
    </w:p>
    <w:p w:rsidR="00FE3FC7" w:rsidRPr="00FE3FC7" w:rsidRDefault="00FE3FC7" w:rsidP="00FE3FC7">
      <w:pPr>
        <w:widowControl/>
        <w:shd w:val="clear" w:color="auto" w:fill="FFFFFF"/>
        <w:spacing w:line="600" w:lineRule="exact"/>
        <w:ind w:firstLine="495"/>
        <w:rPr>
          <w:rFonts w:ascii="仿宋_GB2312" w:eastAsia="仿宋_GB2312" w:hAnsi="微软雅黑" w:cs="宋体" w:hint="eastAsia"/>
          <w:color w:val="333333"/>
          <w:kern w:val="0"/>
          <w:sz w:val="32"/>
          <w:szCs w:val="32"/>
        </w:rPr>
      </w:pPr>
      <w:r w:rsidRPr="00FE3FC7">
        <w:rPr>
          <w:rFonts w:ascii="仿宋_GB2312" w:eastAsia="仿宋_GB2312" w:hAnsi="仿宋_GB2312" w:cs="仿宋_GB2312" w:hint="eastAsia"/>
          <w:color w:val="333333"/>
          <w:kern w:val="0"/>
          <w:sz w:val="32"/>
          <w:szCs w:val="32"/>
          <w:bdr w:val="none" w:sz="0" w:space="0" w:color="auto" w:frame="1"/>
        </w:rPr>
        <w:t>本年度报告根据《中华人民共和国政府信息公开条例》（以下简称《条例》）要求，汇总</w:t>
      </w:r>
      <w:r w:rsidRPr="00FE3FC7">
        <w:rPr>
          <w:rFonts w:ascii="仿宋_GB2312" w:eastAsia="仿宋_GB2312" w:hAnsi="微软雅黑" w:cs="宋体" w:hint="eastAsia"/>
          <w:color w:val="333333"/>
          <w:kern w:val="0"/>
          <w:sz w:val="32"/>
          <w:szCs w:val="32"/>
          <w:bdr w:val="none" w:sz="0" w:space="0" w:color="auto" w:frame="1"/>
        </w:rPr>
        <w:t>2018年袁州区卫健委政府信息公开报告编制而成。报告包括概述，主动公开政府信息情况，依申请公开政府信息和不予公开政府信息情况，政府信息公开的收费及减免情况，因政府信息公开申请行政复议、提起行政诉讼的情况，政府信息公开工作存在的主要问题及改进情况，其他需要报告的事项等7个部分。报告中所列数据的统计期限自2018年1月1日起至2018年12月31日止。本报告全文在袁州区政府网公开，欢迎查阅。</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黑体" w:cs="宋体" w:hint="eastAsia"/>
          <w:color w:val="333333"/>
          <w:kern w:val="0"/>
          <w:sz w:val="32"/>
          <w:szCs w:val="32"/>
          <w:bdr w:val="none" w:sz="0" w:space="0" w:color="auto" w:frame="1"/>
        </w:rPr>
        <w:t>一、概述</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2018年度袁州区卫健委在深化政府信息公开内容、加强政府信息公开基础性工作等方面取得了新的进展。主要开展了以下几方面工作：</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（一）健全组织机构。为加强袁州区卫健委政府信息公开工作及时调整了袁州区卫健委政府信息公开工作人员，落实专人负责，确保重要信息不漏报、不迟报、不误报并</w:t>
      </w:r>
      <w:r w:rsidRPr="00FE3FC7">
        <w:rPr>
          <w:rFonts w:ascii="仿宋_GB2312" w:eastAsia="仿宋_GB2312" w:hAnsi="微软雅黑" w:cs="宋体" w:hint="eastAsia"/>
          <w:color w:val="000000"/>
          <w:kern w:val="0"/>
          <w:sz w:val="32"/>
          <w:szCs w:val="32"/>
          <w:bdr w:val="none" w:sz="0" w:space="0" w:color="auto" w:frame="1"/>
        </w:rPr>
        <w:t>负责政务舆情监测、研判和回应。</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（二）明确工作制度。坚持“严格依法、全面真实、注重实效、及时便民”的政府信息公开原则，根据不同时期工作的重点，深入推行政府信息公开工作，努力提高工作透明</w:t>
      </w:r>
      <w:r w:rsidRPr="00FE3FC7">
        <w:rPr>
          <w:rFonts w:ascii="仿宋_GB2312" w:eastAsia="仿宋_GB2312" w:hAnsi="微软雅黑" w:cs="宋体" w:hint="eastAsia"/>
          <w:color w:val="333333"/>
          <w:kern w:val="0"/>
          <w:sz w:val="32"/>
          <w:szCs w:val="32"/>
          <w:bdr w:val="none" w:sz="0" w:space="0" w:color="auto" w:frame="1"/>
        </w:rPr>
        <w:lastRenderedPageBreak/>
        <w:t>度。</w:t>
      </w:r>
      <w:r w:rsidRPr="00FE3FC7">
        <w:rPr>
          <w:rFonts w:ascii="仿宋_GB2312" w:eastAsia="仿宋_GB2312" w:hAnsi="微软雅黑" w:cs="宋体" w:hint="eastAsia"/>
          <w:color w:val="333333"/>
          <w:kern w:val="0"/>
          <w:sz w:val="32"/>
          <w:szCs w:val="32"/>
          <w:bdr w:val="none" w:sz="0" w:space="0" w:color="auto" w:frame="1"/>
          <w:shd w:val="clear" w:color="auto" w:fill="FFFFFF"/>
        </w:rPr>
        <w:t>组织干部集中学习</w:t>
      </w:r>
      <w:r w:rsidRPr="00FE3FC7">
        <w:rPr>
          <w:rFonts w:ascii="仿宋_GB2312" w:eastAsia="仿宋_GB2312" w:hAnsi="微软雅黑" w:cs="宋体" w:hint="eastAsia"/>
          <w:color w:val="333333"/>
          <w:kern w:val="0"/>
          <w:sz w:val="32"/>
          <w:szCs w:val="32"/>
          <w:bdr w:val="none" w:sz="0" w:space="0" w:color="auto" w:frame="1"/>
        </w:rPr>
        <w:t>《政府信息主动公开制度》、《依申请公开制度》、《保密审查制度》、《工作台账制度》、《责任追究制度》等相关工作制度，使政府信息公开工作逐步走向规范化和科学化。</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（三）拓展公开渠道。袁州区充分利用、发挥现有平台作用，提供优质社会服务，同时还利用微博、微信公众号等公众媒体，大力宣传政府信息的新动态。</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黑体" w:cs="宋体" w:hint="eastAsia"/>
          <w:color w:val="333333"/>
          <w:kern w:val="0"/>
          <w:sz w:val="32"/>
          <w:szCs w:val="32"/>
          <w:bdr w:val="none" w:sz="0" w:space="0" w:color="auto" w:frame="1"/>
        </w:rPr>
        <w:t>二、主动公开政府信息情况</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（一）部门信息公开网站信息公开情况。截止</w:t>
      </w:r>
      <w:r w:rsidRPr="00FE3FC7">
        <w:rPr>
          <w:rFonts w:ascii="仿宋_GB2312" w:eastAsia="仿宋_GB2312" w:hAnsi="微软雅黑" w:cs="宋体" w:hint="eastAsia"/>
          <w:color w:val="0F0F0F"/>
          <w:kern w:val="0"/>
          <w:sz w:val="32"/>
          <w:szCs w:val="32"/>
          <w:bdr w:val="none" w:sz="0" w:space="0" w:color="auto" w:frame="1"/>
        </w:rPr>
        <w:t>目前，通过袁州区政府部门公开网站主动公开政府信息</w:t>
      </w:r>
      <w:r w:rsidRPr="00FE3FC7">
        <w:rPr>
          <w:rFonts w:ascii="仿宋_GB2312" w:eastAsia="仿宋_GB2312" w:hAnsi="微软雅黑" w:cs="宋体" w:hint="eastAsia"/>
          <w:color w:val="333333"/>
          <w:kern w:val="0"/>
          <w:sz w:val="32"/>
          <w:szCs w:val="32"/>
          <w:bdr w:val="none" w:sz="0" w:space="0" w:color="auto" w:frame="1"/>
        </w:rPr>
        <w:t>82条，政务信息63条，概况信息3条，法规文件9条、发展规划1条、人事信息2条、行政执法4条</w:t>
      </w:r>
      <w:r w:rsidRPr="00FE3FC7">
        <w:rPr>
          <w:rFonts w:ascii="仿宋_GB2312" w:eastAsia="仿宋_GB2312" w:hAnsi="微软雅黑" w:cs="宋体" w:hint="eastAsia"/>
          <w:color w:val="0F0F0F"/>
          <w:kern w:val="0"/>
          <w:sz w:val="32"/>
          <w:szCs w:val="32"/>
          <w:bdr w:val="none" w:sz="0" w:space="0" w:color="auto" w:frame="1"/>
        </w:rPr>
        <w:t>。</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（二）主动公开政府信息的途径：袁州区政府网站。</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黑体" w:cs="宋体" w:hint="eastAsia"/>
          <w:color w:val="333333"/>
          <w:kern w:val="0"/>
          <w:sz w:val="32"/>
          <w:szCs w:val="32"/>
          <w:bdr w:val="none" w:sz="0" w:space="0" w:color="auto" w:frame="1"/>
        </w:rPr>
        <w:t>三、依申请公开政府信息和不予公开政府信息情况</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（一）申请情况：2018年度收到申请公开政府信息数0条。</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（二）处理情况：2018年已处理申请情况数0条。</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黑体" w:cs="宋体" w:hint="eastAsia"/>
          <w:color w:val="333333"/>
          <w:kern w:val="0"/>
          <w:sz w:val="32"/>
          <w:szCs w:val="32"/>
          <w:bdr w:val="none" w:sz="0" w:space="0" w:color="auto" w:frame="1"/>
        </w:rPr>
        <w:t>四、政府信息公开的收费及减免情况</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2018年度未发生信息公开的收费和减免情况。</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黑体" w:cs="宋体" w:hint="eastAsia"/>
          <w:color w:val="333333"/>
          <w:kern w:val="0"/>
          <w:sz w:val="32"/>
          <w:szCs w:val="32"/>
          <w:bdr w:val="none" w:sz="0" w:space="0" w:color="auto" w:frame="1"/>
        </w:rPr>
        <w:t>五、因政府信息公开申请行政复议、提起行政诉讼的情况</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2018年度无因政府信息公开申请行政复议、提起行政诉讼的情况。</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黑体" w:cs="宋体" w:hint="eastAsia"/>
          <w:color w:val="333333"/>
          <w:kern w:val="0"/>
          <w:sz w:val="32"/>
          <w:szCs w:val="32"/>
          <w:bdr w:val="none" w:sz="0" w:space="0" w:color="auto" w:frame="1"/>
        </w:rPr>
        <w:t>六、政府信息公开工作存在的主要问题及改进情况</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lastRenderedPageBreak/>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b/>
          <w:bCs/>
          <w:color w:val="333333"/>
          <w:kern w:val="0"/>
          <w:sz w:val="32"/>
          <w:szCs w:val="32"/>
        </w:rPr>
        <w:t>（一）工作中存在的主要问题和困难</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w:t>
      </w: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一是各单位部门依法公开、主动公开意识有待进一步加强。</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w:t>
      </w: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二是政府信息主动公开的深度还有待进一步拓展。</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w:t>
      </w: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三是政府信息公开渠道还有待进一步完善。</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bdr w:val="none" w:sz="0" w:space="0" w:color="auto" w:frame="1"/>
        </w:rPr>
        <w:t xml:space="preserve">　</w:t>
      </w:r>
      <w:r w:rsidRPr="00FE3FC7">
        <w:rPr>
          <w:rFonts w:ascii="仿宋_GB2312" w:eastAsia="仿宋_GB2312" w:hAnsi="微软雅黑" w:cs="宋体" w:hint="eastAsia"/>
          <w:color w:val="333333"/>
          <w:kern w:val="0"/>
          <w:sz w:val="32"/>
          <w:szCs w:val="32"/>
          <w:bdr w:val="none" w:sz="0" w:space="0" w:color="auto" w:frame="1"/>
        </w:rPr>
        <w:t>  </w:t>
      </w:r>
      <w:r w:rsidRPr="00FE3FC7">
        <w:rPr>
          <w:rFonts w:ascii="仿宋_GB2312" w:eastAsia="仿宋_GB2312" w:hAnsi="微软雅黑" w:cs="宋体" w:hint="eastAsia"/>
          <w:b/>
          <w:bCs/>
          <w:color w:val="333333"/>
          <w:kern w:val="0"/>
          <w:sz w:val="32"/>
          <w:szCs w:val="32"/>
        </w:rPr>
        <w:t>（二）具体的解决办法和改进措施。</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w:t>
      </w: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一是加强组织领导，进一步明确工作机构的职责和任务。进一步完善工作机制，明确政府信息公开工作机构职责和任务，形成职责分明、分工合理、各负其责、齐抓共管的工作局面。层层落实责任，明确专人负责政府信息公开的组织协调、维护更新等工作，确保全区政府信息公开工作扎实、有序推进。</w:t>
      </w:r>
    </w:p>
    <w:p w:rsidR="00FE3FC7" w:rsidRPr="00FE3FC7" w:rsidRDefault="00FE3FC7" w:rsidP="00FE3FC7">
      <w:pPr>
        <w:widowControl/>
        <w:shd w:val="clear" w:color="auto" w:fill="FFFFFF"/>
        <w:spacing w:line="600" w:lineRule="exact"/>
        <w:ind w:firstLine="369"/>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二是加大宣传力度，塑造良好的政府信息公开工作氛围。贯彻落实中央和省、市关于政府信息公开工作的要求，广泛开展系列政府信息公开工作宣传活动，倡导积极、全面、合法、透明的政府信息，为公众提供及时、准确、实用的信息。</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w:t>
      </w:r>
      <w:r w:rsidRPr="00FE3FC7">
        <w:rPr>
          <w:rFonts w:ascii="仿宋_GB2312" w:eastAsia="仿宋_GB2312" w:hAnsi="微软雅黑" w:cs="宋体" w:hint="eastAsia"/>
          <w:color w:val="0F0F0F"/>
          <w:kern w:val="0"/>
          <w:sz w:val="32"/>
          <w:szCs w:val="32"/>
          <w:bdr w:val="none" w:sz="0" w:space="0" w:color="auto" w:frame="1"/>
        </w:rPr>
        <w:t> </w:t>
      </w:r>
      <w:r w:rsidRPr="00FE3FC7">
        <w:rPr>
          <w:rFonts w:ascii="仿宋_GB2312" w:eastAsia="仿宋_GB2312" w:hAnsi="微软雅黑" w:cs="宋体" w:hint="eastAsia"/>
          <w:color w:val="0F0F0F"/>
          <w:kern w:val="0"/>
          <w:sz w:val="32"/>
          <w:szCs w:val="32"/>
          <w:bdr w:val="none" w:sz="0" w:space="0" w:color="auto" w:frame="1"/>
        </w:rPr>
        <w:t xml:space="preserve"> 三是围绕中心工作，公开公众普遍关注的热点难点问题。以政府中心工作为主轴，以公众关心的热点、难点问题为导向，全面、及时地公开政府信息，确保政府信息公开工作的针对性和实效性。</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rPr>
        <w:t> </w:t>
      </w:r>
      <w:r w:rsidRPr="00FE3FC7">
        <w:rPr>
          <w:rFonts w:ascii="仿宋_GB2312" w:eastAsia="仿宋_GB2312" w:hAnsi="微软雅黑" w:cs="宋体" w:hint="eastAsia"/>
          <w:color w:val="333333"/>
          <w:kern w:val="0"/>
          <w:sz w:val="32"/>
          <w:szCs w:val="32"/>
        </w:rPr>
        <w:t xml:space="preserve"> </w:t>
      </w:r>
      <w:r w:rsidRPr="00FE3FC7">
        <w:rPr>
          <w:rFonts w:ascii="仿宋_GB2312" w:eastAsia="仿宋_GB2312" w:hAnsi="微软雅黑" w:cs="宋体" w:hint="eastAsia"/>
          <w:color w:val="333333"/>
          <w:kern w:val="0"/>
          <w:sz w:val="32"/>
          <w:szCs w:val="32"/>
        </w:rPr>
        <w:t> </w:t>
      </w:r>
      <w:r w:rsidRPr="00FE3FC7">
        <w:rPr>
          <w:rFonts w:ascii="仿宋_GB2312" w:eastAsia="仿宋_GB2312" w:hAnsi="微软雅黑" w:cs="宋体" w:hint="eastAsia"/>
          <w:color w:val="333333"/>
          <w:kern w:val="0"/>
          <w:sz w:val="32"/>
          <w:szCs w:val="32"/>
        </w:rPr>
        <w:t xml:space="preserve"> </w:t>
      </w:r>
      <w:r w:rsidRPr="00FE3FC7">
        <w:rPr>
          <w:rFonts w:ascii="仿宋_GB2312" w:eastAsia="仿宋_GB2312" w:hAnsi="微软雅黑" w:cs="宋体" w:hint="eastAsia"/>
          <w:color w:val="333333"/>
          <w:kern w:val="0"/>
          <w:sz w:val="32"/>
          <w:szCs w:val="32"/>
        </w:rPr>
        <w:t> </w:t>
      </w:r>
      <w:r w:rsidRPr="00FE3FC7">
        <w:rPr>
          <w:rFonts w:ascii="仿宋_GB2312" w:eastAsia="仿宋_GB2312" w:hAnsi="黑体" w:cs="宋体" w:hint="eastAsia"/>
          <w:color w:val="333333"/>
          <w:kern w:val="0"/>
          <w:sz w:val="32"/>
          <w:szCs w:val="32"/>
          <w:bdr w:val="none" w:sz="0" w:space="0" w:color="auto" w:frame="1"/>
        </w:rPr>
        <w:t>七、其他需要报告的事项</w:t>
      </w:r>
    </w:p>
    <w:p w:rsidR="00FE3FC7" w:rsidRPr="00FE3FC7" w:rsidRDefault="00FE3FC7" w:rsidP="00FE3FC7">
      <w:pPr>
        <w:widowControl/>
        <w:shd w:val="clear" w:color="auto" w:fill="FFFFFF"/>
        <w:spacing w:line="600" w:lineRule="exact"/>
        <w:rPr>
          <w:rFonts w:ascii="仿宋_GB2312" w:eastAsia="仿宋_GB2312" w:hAnsi="微软雅黑" w:cs="宋体" w:hint="eastAsia"/>
          <w:color w:val="333333"/>
          <w:kern w:val="0"/>
          <w:sz w:val="32"/>
          <w:szCs w:val="32"/>
        </w:rPr>
      </w:pPr>
      <w:r w:rsidRPr="00FE3FC7">
        <w:rPr>
          <w:rFonts w:ascii="仿宋_GB2312" w:eastAsia="仿宋_GB2312" w:hAnsi="微软雅黑" w:cs="宋体" w:hint="eastAsia"/>
          <w:color w:val="333333"/>
          <w:kern w:val="0"/>
          <w:sz w:val="32"/>
          <w:szCs w:val="32"/>
        </w:rPr>
        <w:t> </w:t>
      </w:r>
      <w:r w:rsidRPr="00FE3FC7">
        <w:rPr>
          <w:rFonts w:ascii="仿宋_GB2312" w:eastAsia="仿宋_GB2312" w:hAnsi="微软雅黑" w:cs="宋体" w:hint="eastAsia"/>
          <w:color w:val="333333"/>
          <w:kern w:val="0"/>
          <w:sz w:val="32"/>
          <w:szCs w:val="32"/>
        </w:rPr>
        <w:t xml:space="preserve"> </w:t>
      </w:r>
      <w:r w:rsidRPr="00FE3FC7">
        <w:rPr>
          <w:rFonts w:ascii="仿宋_GB2312" w:eastAsia="仿宋_GB2312" w:hAnsi="微软雅黑" w:cs="宋体" w:hint="eastAsia"/>
          <w:color w:val="333333"/>
          <w:kern w:val="0"/>
          <w:sz w:val="32"/>
          <w:szCs w:val="32"/>
        </w:rPr>
        <w:t> </w:t>
      </w:r>
      <w:r w:rsidRPr="00FE3FC7">
        <w:rPr>
          <w:rFonts w:ascii="仿宋_GB2312" w:eastAsia="仿宋_GB2312" w:hAnsi="微软雅黑" w:cs="宋体" w:hint="eastAsia"/>
          <w:color w:val="333333"/>
          <w:kern w:val="0"/>
          <w:sz w:val="32"/>
          <w:szCs w:val="32"/>
        </w:rPr>
        <w:t xml:space="preserve"> 无</w:t>
      </w:r>
    </w:p>
    <w:p w:rsidR="00FE3FC7" w:rsidRDefault="00FE3FC7" w:rsidP="00FE3FC7">
      <w:pPr>
        <w:widowControl/>
        <w:shd w:val="clear" w:color="auto" w:fill="FFFFFF"/>
        <w:spacing w:line="600" w:lineRule="exact"/>
        <w:rPr>
          <w:rFonts w:ascii="黑体" w:eastAsia="黑体" w:hAnsi="黑体" w:cs="宋体" w:hint="eastAsia"/>
          <w:color w:val="000000"/>
          <w:kern w:val="0"/>
          <w:sz w:val="24"/>
          <w:szCs w:val="24"/>
          <w:bdr w:val="none" w:sz="0" w:space="0" w:color="auto" w:frame="1"/>
        </w:rPr>
      </w:pPr>
    </w:p>
    <w:p w:rsidR="00FE3FC7" w:rsidRPr="00FE3FC7" w:rsidRDefault="00FE3FC7" w:rsidP="00FE3FC7">
      <w:pPr>
        <w:widowControl/>
        <w:shd w:val="clear" w:color="auto" w:fill="FFFFFF"/>
        <w:spacing w:line="600" w:lineRule="exact"/>
        <w:rPr>
          <w:rFonts w:ascii="微软雅黑" w:eastAsia="微软雅黑" w:hAnsi="微软雅黑" w:cs="宋体" w:hint="eastAsia"/>
          <w:color w:val="333333"/>
          <w:kern w:val="0"/>
          <w:sz w:val="20"/>
          <w:szCs w:val="20"/>
        </w:rPr>
      </w:pPr>
      <w:r w:rsidRPr="00FE3FC7">
        <w:rPr>
          <w:rFonts w:ascii="黑体" w:eastAsia="黑体" w:hAnsi="黑体" w:cs="宋体" w:hint="eastAsia"/>
          <w:color w:val="000000"/>
          <w:kern w:val="0"/>
          <w:sz w:val="24"/>
          <w:szCs w:val="24"/>
          <w:bdr w:val="none" w:sz="0" w:space="0" w:color="auto" w:frame="1"/>
        </w:rPr>
        <w:lastRenderedPageBreak/>
        <w:t>附件1</w:t>
      </w:r>
    </w:p>
    <w:p w:rsidR="00FE3FC7" w:rsidRPr="00FE3FC7" w:rsidRDefault="00FE3FC7" w:rsidP="00FE3FC7">
      <w:pPr>
        <w:widowControl/>
        <w:shd w:val="clear" w:color="auto" w:fill="FFFFFF"/>
        <w:spacing w:line="600" w:lineRule="exact"/>
        <w:jc w:val="center"/>
        <w:rPr>
          <w:rFonts w:ascii="微软雅黑" w:eastAsia="微软雅黑" w:hAnsi="微软雅黑" w:cs="宋体" w:hint="eastAsia"/>
          <w:color w:val="333333"/>
          <w:kern w:val="0"/>
          <w:sz w:val="20"/>
          <w:szCs w:val="20"/>
        </w:rPr>
      </w:pPr>
      <w:r w:rsidRPr="00FE3FC7">
        <w:rPr>
          <w:rFonts w:ascii="宋体" w:eastAsia="宋体" w:hAnsi="宋体" w:cs="宋体" w:hint="eastAsia"/>
          <w:b/>
          <w:bCs/>
          <w:color w:val="000000"/>
          <w:kern w:val="0"/>
          <w:sz w:val="28"/>
        </w:rPr>
        <w:t>政府信息公开情况统计表</w:t>
      </w:r>
      <w:r w:rsidRPr="00FE3FC7">
        <w:rPr>
          <w:rFonts w:ascii="宋体" w:eastAsia="宋体" w:hAnsi="宋体" w:cs="宋体" w:hint="eastAsia"/>
          <w:b/>
          <w:bCs/>
          <w:color w:val="000000"/>
          <w:kern w:val="0"/>
          <w:sz w:val="28"/>
          <w:szCs w:val="28"/>
          <w:bdr w:val="none" w:sz="0" w:space="0" w:color="auto" w:frame="1"/>
        </w:rPr>
        <w:br/>
      </w:r>
      <w:r w:rsidRPr="00FE3FC7">
        <w:rPr>
          <w:rFonts w:ascii="楷体_GB2312" w:eastAsia="楷体_GB2312" w:hAnsi="微软雅黑" w:cs="宋体" w:hint="eastAsia"/>
          <w:color w:val="000000"/>
          <w:kern w:val="0"/>
          <w:sz w:val="18"/>
          <w:szCs w:val="18"/>
          <w:bdr w:val="none" w:sz="0" w:space="0" w:color="auto" w:frame="1"/>
        </w:rPr>
        <w:t>（2018年度）</w:t>
      </w:r>
    </w:p>
    <w:p w:rsidR="00FE3FC7" w:rsidRPr="00FE3FC7" w:rsidRDefault="00FE3FC7" w:rsidP="00FE3FC7">
      <w:pPr>
        <w:widowControl/>
        <w:shd w:val="clear" w:color="auto" w:fill="FFFFFF"/>
        <w:spacing w:line="600" w:lineRule="exact"/>
        <w:rPr>
          <w:rFonts w:ascii="微软雅黑" w:eastAsia="微软雅黑" w:hAnsi="微软雅黑" w:cs="宋体" w:hint="eastAsia"/>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填报单位（盖章）：袁州区信息中心</w:t>
      </w:r>
    </w:p>
    <w:tbl>
      <w:tblPr>
        <w:tblW w:w="0" w:type="auto"/>
        <w:shd w:val="clear" w:color="auto" w:fill="FFFFFF"/>
        <w:tblCellMar>
          <w:left w:w="0" w:type="dxa"/>
          <w:right w:w="0" w:type="dxa"/>
        </w:tblCellMar>
        <w:tblLook w:val="04A0"/>
      </w:tblPr>
      <w:tblGrid>
        <w:gridCol w:w="5818"/>
        <w:gridCol w:w="783"/>
        <w:gridCol w:w="657"/>
      </w:tblGrid>
      <w:tr w:rsidR="00FE3FC7" w:rsidRPr="00FE3FC7" w:rsidTr="00FE3FC7">
        <w:tc>
          <w:tcPr>
            <w:tcW w:w="5818" w:type="dxa"/>
            <w:tcBorders>
              <w:top w:val="outset" w:sz="4" w:space="0" w:color="000000"/>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b/>
                <w:bCs/>
                <w:color w:val="000000"/>
                <w:kern w:val="0"/>
                <w:sz w:val="15"/>
              </w:rPr>
              <w:t>统　计　指　标</w:t>
            </w:r>
          </w:p>
        </w:tc>
        <w:tc>
          <w:tcPr>
            <w:tcW w:w="783" w:type="dxa"/>
            <w:tcBorders>
              <w:top w:val="outset" w:sz="4" w:space="0" w:color="000000"/>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b/>
                <w:bCs/>
                <w:color w:val="000000"/>
                <w:kern w:val="0"/>
                <w:sz w:val="15"/>
              </w:rPr>
              <w:t>单位</w:t>
            </w:r>
          </w:p>
        </w:tc>
        <w:tc>
          <w:tcPr>
            <w:tcW w:w="657" w:type="dxa"/>
            <w:tcBorders>
              <w:top w:val="outset" w:sz="4" w:space="0" w:color="000000"/>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b/>
                <w:bCs/>
                <w:color w:val="000000"/>
                <w:kern w:val="0"/>
                <w:sz w:val="15"/>
              </w:rPr>
              <w:t>统计数</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一、主动公开情况</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 </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（一）主动公开政府信息数</w:t>
            </w:r>
            <w:r w:rsidRPr="00FE3FC7">
              <w:rPr>
                <w:rFonts w:ascii="宋体" w:eastAsia="宋体" w:hAnsi="宋体" w:cs="宋体" w:hint="eastAsia"/>
                <w:color w:val="000000"/>
                <w:kern w:val="0"/>
                <w:sz w:val="15"/>
                <w:szCs w:val="15"/>
                <w:bdr w:val="none" w:sz="0" w:space="0" w:color="auto" w:frame="1"/>
              </w:rPr>
              <w:br/>
            </w:r>
            <w:r w:rsidRPr="00FE3FC7">
              <w:rPr>
                <w:rFonts w:ascii="仿宋_GB2312" w:eastAsia="仿宋_GB2312" w:hAnsi="微软雅黑" w:cs="宋体" w:hint="eastAsia"/>
                <w:color w:val="000000"/>
                <w:kern w:val="0"/>
                <w:sz w:val="15"/>
                <w:szCs w:val="15"/>
                <w:bdr w:val="none" w:sz="0" w:space="0" w:color="auto" w:frame="1"/>
              </w:rPr>
              <w:t xml:space="preserve">　　　　（不同渠道和方式公开相同信息计</w:t>
            </w:r>
            <w:r w:rsidRPr="00FE3FC7">
              <w:rPr>
                <w:rFonts w:ascii="宋体" w:eastAsia="宋体" w:hAnsi="宋体" w:cs="宋体" w:hint="eastAsia"/>
                <w:color w:val="000000"/>
                <w:kern w:val="0"/>
                <w:sz w:val="15"/>
                <w:szCs w:val="15"/>
                <w:bdr w:val="none" w:sz="0" w:space="0" w:color="auto" w:frame="1"/>
              </w:rPr>
              <w:t>1</w:t>
            </w:r>
            <w:r w:rsidRPr="00FE3FC7">
              <w:rPr>
                <w:rFonts w:ascii="仿宋_GB2312" w:eastAsia="仿宋_GB2312" w:hAnsi="微软雅黑" w:cs="宋体" w:hint="eastAsia"/>
                <w:color w:val="000000"/>
                <w:kern w:val="0"/>
                <w:sz w:val="15"/>
                <w:szCs w:val="15"/>
                <w:bdr w:val="none" w:sz="0" w:space="0" w:color="auto" w:frame="1"/>
              </w:rPr>
              <w:t>条）</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82</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其中：主动公开规范性文件数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制发规范性文件总数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（二）通过不同渠道和方式公开政府信息的情况</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 </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r w:rsidRPr="00FE3FC7">
              <w:rPr>
                <w:rFonts w:ascii="仿宋_GB2312" w:eastAsia="仿宋_GB2312" w:hAnsi="微软雅黑" w:cs="宋体" w:hint="eastAsia"/>
                <w:color w:val="000000"/>
                <w:kern w:val="0"/>
                <w:sz w:val="15"/>
                <w:szCs w:val="15"/>
                <w:bdr w:val="none" w:sz="0" w:space="0" w:color="auto" w:frame="1"/>
              </w:rPr>
              <w:t>政府公报公开政府信息数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2.</w:t>
            </w:r>
            <w:r w:rsidRPr="00FE3FC7">
              <w:rPr>
                <w:rFonts w:ascii="仿宋_GB2312" w:eastAsia="仿宋_GB2312" w:hAnsi="微软雅黑" w:cs="宋体" w:hint="eastAsia"/>
                <w:color w:val="000000"/>
                <w:kern w:val="0"/>
                <w:sz w:val="15"/>
                <w:szCs w:val="15"/>
                <w:bdr w:val="none" w:sz="0" w:space="0" w:color="auto" w:frame="1"/>
              </w:rPr>
              <w:t>政府网站公开政府信息数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63</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3.</w:t>
            </w:r>
            <w:r w:rsidRPr="00FE3FC7">
              <w:rPr>
                <w:rFonts w:ascii="仿宋_GB2312" w:eastAsia="仿宋_GB2312" w:hAnsi="微软雅黑" w:cs="宋体" w:hint="eastAsia"/>
                <w:color w:val="000000"/>
                <w:kern w:val="0"/>
                <w:sz w:val="15"/>
                <w:szCs w:val="15"/>
                <w:bdr w:val="none" w:sz="0" w:space="0" w:color="auto" w:frame="1"/>
              </w:rPr>
              <w:t>政务微博公开政府信息数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微软雅黑" w:eastAsia="微软雅黑" w:hAnsi="微软雅黑" w:cs="宋体" w:hint="eastAsia"/>
                <w:color w:val="333333"/>
                <w:kern w:val="0"/>
                <w:sz w:val="20"/>
                <w:szCs w:val="20"/>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4.</w:t>
            </w:r>
            <w:r w:rsidRPr="00FE3FC7">
              <w:rPr>
                <w:rFonts w:ascii="仿宋_GB2312" w:eastAsia="仿宋_GB2312" w:hAnsi="微软雅黑" w:cs="宋体" w:hint="eastAsia"/>
                <w:color w:val="000000"/>
                <w:kern w:val="0"/>
                <w:sz w:val="15"/>
                <w:szCs w:val="15"/>
                <w:bdr w:val="none" w:sz="0" w:space="0" w:color="auto" w:frame="1"/>
              </w:rPr>
              <w:t>政务微信公开政府信息数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5.</w:t>
            </w:r>
            <w:r w:rsidRPr="00FE3FC7">
              <w:rPr>
                <w:rFonts w:ascii="仿宋_GB2312" w:eastAsia="仿宋_GB2312" w:hAnsi="微软雅黑" w:cs="宋体" w:hint="eastAsia"/>
                <w:color w:val="000000"/>
                <w:kern w:val="0"/>
                <w:sz w:val="15"/>
                <w:szCs w:val="15"/>
                <w:bdr w:val="none" w:sz="0" w:space="0" w:color="auto" w:frame="1"/>
              </w:rPr>
              <w:t>其他方式公开政府信息数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rPr>
          <w:trHeight w:val="461"/>
        </w:trPr>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二、回应解读情况</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w:t>
            </w:r>
          </w:p>
        </w:tc>
        <w:tc>
          <w:tcPr>
            <w:tcW w:w="657" w:type="dxa"/>
            <w:tcBorders>
              <w:top w:val="nil"/>
              <w:left w:val="nil"/>
              <w:bottom w:val="single" w:sz="4" w:space="0" w:color="000000"/>
              <w:right w:val="single" w:sz="4" w:space="0" w:color="0A0A0A"/>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微软雅黑" w:eastAsia="微软雅黑" w:hAnsi="微软雅黑" w:cs="宋体" w:hint="eastAsia"/>
                <w:color w:val="000000"/>
                <w:kern w:val="0"/>
                <w:sz w:val="15"/>
                <w:szCs w:val="15"/>
                <w:bdr w:val="none" w:sz="0" w:space="0" w:color="auto" w:frame="1"/>
              </w:rPr>
              <w:t> </w:t>
            </w:r>
          </w:p>
        </w:tc>
      </w:tr>
      <w:tr w:rsidR="00FE3FC7" w:rsidRPr="00FE3FC7" w:rsidTr="00FE3FC7">
        <w:trPr>
          <w:trHeight w:val="783"/>
        </w:trPr>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（一）回应公众关注热点或重大舆情数</w:t>
            </w:r>
            <w:r w:rsidRPr="00FE3FC7">
              <w:rPr>
                <w:rFonts w:ascii="宋体" w:eastAsia="宋体" w:hAnsi="宋体" w:cs="宋体" w:hint="eastAsia"/>
                <w:color w:val="000000"/>
                <w:kern w:val="0"/>
                <w:sz w:val="15"/>
                <w:szCs w:val="15"/>
                <w:bdr w:val="none" w:sz="0" w:space="0" w:color="auto" w:frame="1"/>
              </w:rPr>
              <w:br/>
            </w:r>
            <w:r w:rsidRPr="00FE3FC7">
              <w:rPr>
                <w:rFonts w:ascii="仿宋_GB2312" w:eastAsia="仿宋_GB2312" w:hAnsi="微软雅黑" w:cs="宋体" w:hint="eastAsia"/>
                <w:color w:val="000000"/>
                <w:kern w:val="0"/>
                <w:sz w:val="15"/>
                <w:szCs w:val="15"/>
                <w:bdr w:val="none" w:sz="0" w:space="0" w:color="auto" w:frame="1"/>
              </w:rPr>
              <w:t>（不同方式回应同一热点或舆情计</w:t>
            </w:r>
            <w:r w:rsidRPr="00FE3FC7">
              <w:rPr>
                <w:rFonts w:ascii="宋体" w:eastAsia="宋体" w:hAnsi="宋体" w:cs="宋体" w:hint="eastAsia"/>
                <w:color w:val="000000"/>
                <w:kern w:val="0"/>
                <w:sz w:val="15"/>
                <w:szCs w:val="15"/>
                <w:bdr w:val="none" w:sz="0" w:space="0" w:color="auto" w:frame="1"/>
              </w:rPr>
              <w:t>1</w:t>
            </w:r>
            <w:r w:rsidRPr="00FE3FC7">
              <w:rPr>
                <w:rFonts w:ascii="仿宋_GB2312" w:eastAsia="仿宋_GB2312" w:hAnsi="微软雅黑" w:cs="宋体" w:hint="eastAsia"/>
                <w:color w:val="000000"/>
                <w:kern w:val="0"/>
                <w:sz w:val="15"/>
                <w:szCs w:val="15"/>
                <w:bdr w:val="none" w:sz="0" w:space="0" w:color="auto" w:frame="1"/>
              </w:rPr>
              <w:t>次）</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（二）通过不同渠道和方式回应解读的情况</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 </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r w:rsidRPr="00FE3FC7">
              <w:rPr>
                <w:rFonts w:ascii="仿宋_GB2312" w:eastAsia="仿宋_GB2312" w:hAnsi="微软雅黑" w:cs="宋体" w:hint="eastAsia"/>
                <w:color w:val="000000"/>
                <w:kern w:val="0"/>
                <w:sz w:val="15"/>
                <w:szCs w:val="15"/>
                <w:bdr w:val="none" w:sz="0" w:space="0" w:color="auto" w:frame="1"/>
              </w:rPr>
              <w:t>参加或举办新闻发布会总次数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MS Mincho" w:eastAsia="MS Mincho" w:hAnsi="MS Mincho" w:cs="MS Mincho" w:hint="eastAsia"/>
                <w:color w:val="000000"/>
                <w:kern w:val="0"/>
                <w:sz w:val="15"/>
                <w:szCs w:val="15"/>
                <w:bdr w:val="none" w:sz="0" w:space="0" w:color="auto" w:frame="1"/>
              </w:rPr>
              <w:t>​</w:t>
            </w:r>
            <w:r w:rsidRPr="00FE3FC7">
              <w:rPr>
                <w:rFonts w:ascii="仿宋_GB2312" w:eastAsia="仿宋_GB2312" w:hAnsi="微软雅黑" w:cs="宋体" w:hint="eastAsia"/>
                <w:color w:val="000000"/>
                <w:kern w:val="0"/>
                <w:sz w:val="15"/>
                <w:szCs w:val="15"/>
                <w:bdr w:val="none" w:sz="0" w:space="0" w:color="auto" w:frame="1"/>
              </w:rPr>
              <w:t>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其中：主要负责同志参加新闻发布会次数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lastRenderedPageBreak/>
              <w:t>2.</w:t>
            </w:r>
            <w:r w:rsidRPr="00FE3FC7">
              <w:rPr>
                <w:rFonts w:ascii="仿宋_GB2312" w:eastAsia="仿宋_GB2312" w:hAnsi="微软雅黑" w:cs="宋体" w:hint="eastAsia"/>
                <w:color w:val="000000"/>
                <w:kern w:val="0"/>
                <w:sz w:val="15"/>
                <w:szCs w:val="15"/>
                <w:bdr w:val="none" w:sz="0" w:space="0" w:color="auto" w:frame="1"/>
              </w:rPr>
              <w:t>政府网站在线访谈次数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其中：主要负责同志参加政府网站在线访谈次数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3.</w:t>
            </w:r>
            <w:r w:rsidRPr="00FE3FC7">
              <w:rPr>
                <w:rFonts w:ascii="仿宋_GB2312" w:eastAsia="仿宋_GB2312" w:hAnsi="微软雅黑" w:cs="宋体" w:hint="eastAsia"/>
                <w:color w:val="000000"/>
                <w:kern w:val="0"/>
                <w:sz w:val="15"/>
                <w:szCs w:val="15"/>
                <w:bdr w:val="none" w:sz="0" w:space="0" w:color="auto" w:frame="1"/>
              </w:rPr>
              <w:t>政策解读稿件发布数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篇</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4.</w:t>
            </w:r>
            <w:r w:rsidRPr="00FE3FC7">
              <w:rPr>
                <w:rFonts w:ascii="仿宋_GB2312" w:eastAsia="仿宋_GB2312" w:hAnsi="微软雅黑" w:cs="宋体" w:hint="eastAsia"/>
                <w:color w:val="000000"/>
                <w:kern w:val="0"/>
                <w:sz w:val="15"/>
                <w:szCs w:val="15"/>
                <w:bdr w:val="none" w:sz="0" w:space="0" w:color="auto" w:frame="1"/>
              </w:rPr>
              <w:t>微博微信回应事件数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5.</w:t>
            </w:r>
            <w:r w:rsidRPr="00FE3FC7">
              <w:rPr>
                <w:rFonts w:ascii="仿宋_GB2312" w:eastAsia="仿宋_GB2312" w:hAnsi="微软雅黑" w:cs="宋体" w:hint="eastAsia"/>
                <w:color w:val="000000"/>
                <w:kern w:val="0"/>
                <w:sz w:val="15"/>
                <w:szCs w:val="15"/>
                <w:bdr w:val="none" w:sz="0" w:space="0" w:color="auto" w:frame="1"/>
              </w:rPr>
              <w:t>其他方式回应事件数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三、依申请公开情况</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w:t>
            </w:r>
          </w:p>
        </w:tc>
        <w:tc>
          <w:tcPr>
            <w:tcW w:w="657" w:type="dxa"/>
            <w:tcBorders>
              <w:top w:val="nil"/>
              <w:left w:val="nil"/>
              <w:bottom w:val="single" w:sz="4" w:space="0" w:color="000000"/>
              <w:right w:val="single" w:sz="4" w:space="0" w:color="0A0A0A"/>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微软雅黑" w:eastAsia="微软雅黑" w:hAnsi="微软雅黑" w:cs="宋体" w:hint="eastAsia"/>
                <w:color w:val="000000"/>
                <w:kern w:val="0"/>
                <w:sz w:val="15"/>
                <w:szCs w:val="15"/>
                <w:bdr w:val="none" w:sz="0" w:space="0" w:color="auto" w:frame="1"/>
              </w:rPr>
              <w:t> </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（一）收到申请数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r w:rsidRPr="00FE3FC7">
              <w:rPr>
                <w:rFonts w:ascii="仿宋_GB2312" w:eastAsia="仿宋_GB2312" w:hAnsi="微软雅黑" w:cs="宋体" w:hint="eastAsia"/>
                <w:color w:val="000000"/>
                <w:kern w:val="0"/>
                <w:sz w:val="15"/>
                <w:szCs w:val="15"/>
                <w:bdr w:val="none" w:sz="0" w:space="0" w:color="auto" w:frame="1"/>
              </w:rPr>
              <w:t>当面申请数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2.</w:t>
            </w:r>
            <w:r w:rsidRPr="00FE3FC7">
              <w:rPr>
                <w:rFonts w:ascii="仿宋_GB2312" w:eastAsia="仿宋_GB2312" w:hAnsi="微软雅黑" w:cs="宋体" w:hint="eastAsia"/>
                <w:color w:val="000000"/>
                <w:kern w:val="0"/>
                <w:sz w:val="15"/>
                <w:szCs w:val="15"/>
                <w:bdr w:val="none" w:sz="0" w:space="0" w:color="auto" w:frame="1"/>
              </w:rPr>
              <w:t>传真申请数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3.</w:t>
            </w:r>
            <w:r w:rsidRPr="00FE3FC7">
              <w:rPr>
                <w:rFonts w:ascii="仿宋_GB2312" w:eastAsia="仿宋_GB2312" w:hAnsi="微软雅黑" w:cs="宋体" w:hint="eastAsia"/>
                <w:color w:val="000000"/>
                <w:kern w:val="0"/>
                <w:sz w:val="15"/>
                <w:szCs w:val="15"/>
                <w:bdr w:val="none" w:sz="0" w:space="0" w:color="auto" w:frame="1"/>
              </w:rPr>
              <w:t>网络申请数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4.</w:t>
            </w:r>
            <w:r w:rsidRPr="00FE3FC7">
              <w:rPr>
                <w:rFonts w:ascii="仿宋_GB2312" w:eastAsia="仿宋_GB2312" w:hAnsi="微软雅黑" w:cs="宋体" w:hint="eastAsia"/>
                <w:color w:val="000000"/>
                <w:kern w:val="0"/>
                <w:sz w:val="15"/>
                <w:szCs w:val="15"/>
                <w:bdr w:val="none" w:sz="0" w:space="0" w:color="auto" w:frame="1"/>
              </w:rPr>
              <w:t>信函申请数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（二）申请办结数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r w:rsidRPr="00FE3FC7">
              <w:rPr>
                <w:rFonts w:ascii="仿宋_GB2312" w:eastAsia="仿宋_GB2312" w:hAnsi="微软雅黑" w:cs="宋体" w:hint="eastAsia"/>
                <w:color w:val="000000"/>
                <w:kern w:val="0"/>
                <w:sz w:val="15"/>
                <w:szCs w:val="15"/>
                <w:bdr w:val="none" w:sz="0" w:space="0" w:color="auto" w:frame="1"/>
              </w:rPr>
              <w:t>按时办结数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2.</w:t>
            </w:r>
            <w:r w:rsidRPr="00FE3FC7">
              <w:rPr>
                <w:rFonts w:ascii="仿宋_GB2312" w:eastAsia="仿宋_GB2312" w:hAnsi="微软雅黑" w:cs="宋体" w:hint="eastAsia"/>
                <w:color w:val="000000"/>
                <w:kern w:val="0"/>
                <w:sz w:val="15"/>
                <w:szCs w:val="15"/>
                <w:bdr w:val="none" w:sz="0" w:space="0" w:color="auto" w:frame="1"/>
              </w:rPr>
              <w:t>延期办结数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（三）申请答复数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r w:rsidRPr="00FE3FC7">
              <w:rPr>
                <w:rFonts w:ascii="仿宋_GB2312" w:eastAsia="仿宋_GB2312" w:hAnsi="微软雅黑" w:cs="宋体" w:hint="eastAsia"/>
                <w:color w:val="000000"/>
                <w:kern w:val="0"/>
                <w:sz w:val="15"/>
                <w:szCs w:val="15"/>
                <w:bdr w:val="none" w:sz="0" w:space="0" w:color="auto" w:frame="1"/>
              </w:rPr>
              <w:t>属于已主动公开范围数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2.</w:t>
            </w:r>
            <w:r w:rsidRPr="00FE3FC7">
              <w:rPr>
                <w:rFonts w:ascii="仿宋_GB2312" w:eastAsia="仿宋_GB2312" w:hAnsi="微软雅黑" w:cs="宋体" w:hint="eastAsia"/>
                <w:color w:val="000000"/>
                <w:kern w:val="0"/>
                <w:sz w:val="15"/>
                <w:szCs w:val="15"/>
                <w:bdr w:val="none" w:sz="0" w:space="0" w:color="auto" w:frame="1"/>
              </w:rPr>
              <w:t>同意公开答复数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3.</w:t>
            </w:r>
            <w:r w:rsidRPr="00FE3FC7">
              <w:rPr>
                <w:rFonts w:ascii="仿宋_GB2312" w:eastAsia="仿宋_GB2312" w:hAnsi="微软雅黑" w:cs="宋体" w:hint="eastAsia"/>
                <w:color w:val="000000"/>
                <w:kern w:val="0"/>
                <w:sz w:val="15"/>
                <w:szCs w:val="15"/>
                <w:bdr w:val="none" w:sz="0" w:space="0" w:color="auto" w:frame="1"/>
              </w:rPr>
              <w:t>同意部分公开答复数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4.</w:t>
            </w:r>
            <w:r w:rsidRPr="00FE3FC7">
              <w:rPr>
                <w:rFonts w:ascii="仿宋_GB2312" w:eastAsia="仿宋_GB2312" w:hAnsi="微软雅黑" w:cs="宋体" w:hint="eastAsia"/>
                <w:color w:val="000000"/>
                <w:kern w:val="0"/>
                <w:sz w:val="15"/>
                <w:szCs w:val="15"/>
                <w:bdr w:val="none" w:sz="0" w:space="0" w:color="auto" w:frame="1"/>
              </w:rPr>
              <w:t>不同意公开答复数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其中：涉及国家秘密</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涉及商业秘密</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涉及个人隐私</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lastRenderedPageBreak/>
              <w:t>危及国家安全、公共安全、经济安全和社会稳定</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不是《条例》所指政府信息</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rPr>
          <w:trHeight w:val="323"/>
        </w:trPr>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法律法规规定的其他情形</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rPr>
          <w:trHeight w:val="323"/>
        </w:trPr>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5.</w:t>
            </w:r>
            <w:r w:rsidRPr="00FE3FC7">
              <w:rPr>
                <w:rFonts w:ascii="仿宋_GB2312" w:eastAsia="仿宋_GB2312" w:hAnsi="微软雅黑" w:cs="宋体" w:hint="eastAsia"/>
                <w:color w:val="000000"/>
                <w:kern w:val="0"/>
                <w:sz w:val="15"/>
                <w:szCs w:val="15"/>
                <w:bdr w:val="none" w:sz="0" w:space="0" w:color="auto" w:frame="1"/>
              </w:rPr>
              <w:t>不属于本行政机关公开数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6.</w:t>
            </w:r>
            <w:r w:rsidRPr="00FE3FC7">
              <w:rPr>
                <w:rFonts w:ascii="仿宋_GB2312" w:eastAsia="仿宋_GB2312" w:hAnsi="微软雅黑" w:cs="宋体" w:hint="eastAsia"/>
                <w:color w:val="000000"/>
                <w:kern w:val="0"/>
                <w:sz w:val="15"/>
                <w:szCs w:val="15"/>
                <w:bdr w:val="none" w:sz="0" w:space="0" w:color="auto" w:frame="1"/>
              </w:rPr>
              <w:t>申请信息不存在数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7.</w:t>
            </w:r>
            <w:r w:rsidRPr="00FE3FC7">
              <w:rPr>
                <w:rFonts w:ascii="仿宋_GB2312" w:eastAsia="仿宋_GB2312" w:hAnsi="微软雅黑" w:cs="宋体" w:hint="eastAsia"/>
                <w:color w:val="000000"/>
                <w:kern w:val="0"/>
                <w:sz w:val="15"/>
                <w:szCs w:val="15"/>
                <w:bdr w:val="none" w:sz="0" w:space="0" w:color="auto" w:frame="1"/>
              </w:rPr>
              <w:t>告知作出更改补充数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8.</w:t>
            </w:r>
            <w:r w:rsidRPr="00FE3FC7">
              <w:rPr>
                <w:rFonts w:ascii="仿宋_GB2312" w:eastAsia="仿宋_GB2312" w:hAnsi="微软雅黑" w:cs="宋体" w:hint="eastAsia"/>
                <w:color w:val="000000"/>
                <w:kern w:val="0"/>
                <w:sz w:val="15"/>
                <w:szCs w:val="15"/>
                <w:bdr w:val="none" w:sz="0" w:space="0" w:color="auto" w:frame="1"/>
              </w:rPr>
              <w:t>告知通过其他途径办理数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四、行政复议数量</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（一）维持具体行政行为数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（二）被依法纠错数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（三）其他情形数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五、行政诉讼数量</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（一）维持具体行政行为或者驳回原告诉讼请求数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（二）被依法纠错数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（三）其他情形数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六、举报投诉数量</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件</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七、依申请公开信息收取的费用</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万元</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八、机构建设和保障经费情况</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 </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（一）政府信息公开工作专门机构数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个</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（二）设置政府信息公开查阅点数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个</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（三）从事政府信息公开工作人员数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人</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r w:rsidRPr="00FE3FC7">
              <w:rPr>
                <w:rFonts w:ascii="仿宋_GB2312" w:eastAsia="仿宋_GB2312" w:hAnsi="微软雅黑" w:cs="宋体" w:hint="eastAsia"/>
                <w:color w:val="000000"/>
                <w:kern w:val="0"/>
                <w:sz w:val="15"/>
                <w:szCs w:val="15"/>
                <w:bdr w:val="none" w:sz="0" w:space="0" w:color="auto" w:frame="1"/>
              </w:rPr>
              <w:t>专职人员数（不包括政府公报及政府网站工作人员数）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人</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lastRenderedPageBreak/>
              <w:t>2.</w:t>
            </w:r>
            <w:r w:rsidRPr="00FE3FC7">
              <w:rPr>
                <w:rFonts w:ascii="仿宋_GB2312" w:eastAsia="仿宋_GB2312" w:hAnsi="微软雅黑" w:cs="宋体" w:hint="eastAsia"/>
                <w:color w:val="000000"/>
                <w:kern w:val="0"/>
                <w:sz w:val="15"/>
                <w:szCs w:val="15"/>
                <w:bdr w:val="none" w:sz="0" w:space="0" w:color="auto" w:frame="1"/>
              </w:rPr>
              <w:t>兼职人员数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人</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1</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（四）政府信息公开专项经费（不包括用于政府公报编辑管理及政府网站建设维护等方面的经费）</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万元</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九、政府信息公开会议和培训情况</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 </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（一）召开政府信息公开工作会议或专题会议数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1</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（二）举办各类培训班数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8"/>
                <w:szCs w:val="18"/>
                <w:bdr w:val="none" w:sz="0" w:space="0" w:color="auto" w:frame="1"/>
              </w:rPr>
              <w:t>0</w:t>
            </w:r>
          </w:p>
        </w:tc>
      </w:tr>
      <w:tr w:rsidR="00FE3FC7" w:rsidRPr="00FE3FC7" w:rsidTr="00FE3FC7">
        <w:tc>
          <w:tcPr>
            <w:tcW w:w="5818" w:type="dxa"/>
            <w:tcBorders>
              <w:top w:val="nil"/>
              <w:left w:val="outset" w:sz="4" w:space="0" w:color="000000"/>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left"/>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 xml:space="preserve">　　（三）接受培训人员数</w:t>
            </w:r>
          </w:p>
        </w:tc>
        <w:tc>
          <w:tcPr>
            <w:tcW w:w="783"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jc w:val="center"/>
              <w:rPr>
                <w:rFonts w:ascii="微软雅黑" w:eastAsia="微软雅黑" w:hAnsi="微软雅黑" w:cs="宋体"/>
                <w:color w:val="333333"/>
                <w:kern w:val="0"/>
                <w:sz w:val="20"/>
                <w:szCs w:val="20"/>
              </w:rPr>
            </w:pPr>
            <w:r w:rsidRPr="00FE3FC7">
              <w:rPr>
                <w:rFonts w:ascii="仿宋_GB2312" w:eastAsia="仿宋_GB2312" w:hAnsi="微软雅黑" w:cs="宋体" w:hint="eastAsia"/>
                <w:color w:val="000000"/>
                <w:kern w:val="0"/>
                <w:sz w:val="15"/>
                <w:szCs w:val="15"/>
                <w:bdr w:val="none" w:sz="0" w:space="0" w:color="auto" w:frame="1"/>
              </w:rPr>
              <w:t>人次</w:t>
            </w:r>
          </w:p>
        </w:tc>
        <w:tc>
          <w:tcPr>
            <w:tcW w:w="657" w:type="dxa"/>
            <w:tcBorders>
              <w:top w:val="nil"/>
              <w:left w:val="nil"/>
              <w:bottom w:val="outset" w:sz="4" w:space="0" w:color="000000"/>
              <w:right w:val="outset" w:sz="4" w:space="0" w:color="000000"/>
            </w:tcBorders>
            <w:shd w:val="clear" w:color="auto" w:fill="FFFFFF"/>
            <w:vAlign w:val="center"/>
            <w:hideMark/>
          </w:tcPr>
          <w:p w:rsidR="00FE3FC7" w:rsidRPr="00FE3FC7" w:rsidRDefault="00FE3FC7" w:rsidP="00FE3FC7">
            <w:pPr>
              <w:widowControl/>
              <w:spacing w:line="600" w:lineRule="exact"/>
              <w:rPr>
                <w:rFonts w:ascii="微软雅黑" w:eastAsia="微软雅黑" w:hAnsi="微软雅黑" w:cs="宋体"/>
                <w:color w:val="333333"/>
                <w:kern w:val="0"/>
                <w:sz w:val="20"/>
                <w:szCs w:val="20"/>
              </w:rPr>
            </w:pPr>
            <w:r w:rsidRPr="00FE3FC7">
              <w:rPr>
                <w:rFonts w:ascii="宋体" w:eastAsia="宋体" w:hAnsi="宋体" w:cs="宋体" w:hint="eastAsia"/>
                <w:color w:val="000000"/>
                <w:kern w:val="0"/>
                <w:sz w:val="15"/>
                <w:szCs w:val="15"/>
                <w:bdr w:val="none" w:sz="0" w:space="0" w:color="auto" w:frame="1"/>
              </w:rPr>
              <w:t>0</w:t>
            </w:r>
          </w:p>
        </w:tc>
      </w:tr>
    </w:tbl>
    <w:p w:rsidR="00FE3FC7" w:rsidRPr="00FE3FC7" w:rsidRDefault="00FE3FC7" w:rsidP="00FE3FC7">
      <w:pPr>
        <w:widowControl/>
        <w:shd w:val="clear" w:color="auto" w:fill="FFFFFF"/>
        <w:spacing w:line="600" w:lineRule="exact"/>
        <w:rPr>
          <w:rFonts w:ascii="微软雅黑" w:eastAsia="微软雅黑" w:hAnsi="微软雅黑" w:cs="宋体" w:hint="eastAsia"/>
          <w:color w:val="333333"/>
          <w:kern w:val="0"/>
          <w:sz w:val="20"/>
          <w:szCs w:val="20"/>
        </w:rPr>
      </w:pPr>
      <w:r w:rsidRPr="00FE3FC7">
        <w:rPr>
          <w:rFonts w:ascii="仿宋_GB2312" w:eastAsia="仿宋_GB2312" w:hAnsi="微软雅黑" w:cs="宋体" w:hint="eastAsia"/>
          <w:color w:val="000000"/>
          <w:kern w:val="0"/>
          <w:sz w:val="24"/>
          <w:szCs w:val="24"/>
          <w:bdr w:val="none" w:sz="0" w:space="0" w:color="auto" w:frame="1"/>
        </w:rPr>
        <w:t> </w:t>
      </w:r>
    </w:p>
    <w:p w:rsidR="00FE3FC7" w:rsidRPr="00FE3FC7" w:rsidRDefault="00FE3FC7" w:rsidP="00FE3FC7">
      <w:pPr>
        <w:widowControl/>
        <w:spacing w:line="600" w:lineRule="exact"/>
        <w:rPr>
          <w:rFonts w:ascii="宋体" w:eastAsia="宋体" w:hAnsi="宋体" w:cs="宋体" w:hint="eastAsia"/>
          <w:kern w:val="0"/>
          <w:sz w:val="20"/>
          <w:szCs w:val="20"/>
        </w:rPr>
      </w:pPr>
    </w:p>
    <w:p w:rsidR="00AE7952" w:rsidRDefault="00AE7952" w:rsidP="00FE3FC7">
      <w:pPr>
        <w:spacing w:line="600" w:lineRule="exact"/>
      </w:pPr>
    </w:p>
    <w:sectPr w:rsidR="00AE79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952" w:rsidRDefault="00AE7952" w:rsidP="00FE3FC7">
      <w:r>
        <w:separator/>
      </w:r>
    </w:p>
  </w:endnote>
  <w:endnote w:type="continuationSeparator" w:id="1">
    <w:p w:rsidR="00AE7952" w:rsidRDefault="00AE7952" w:rsidP="00FE3F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952" w:rsidRDefault="00AE7952" w:rsidP="00FE3FC7">
      <w:r>
        <w:separator/>
      </w:r>
    </w:p>
  </w:footnote>
  <w:footnote w:type="continuationSeparator" w:id="1">
    <w:p w:rsidR="00AE7952" w:rsidRDefault="00AE7952" w:rsidP="00FE3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C7"/>
    <w:rsid w:val="00AE7952"/>
    <w:rsid w:val="00FE3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3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3FC7"/>
    <w:rPr>
      <w:sz w:val="18"/>
      <w:szCs w:val="18"/>
    </w:rPr>
  </w:style>
  <w:style w:type="paragraph" w:styleId="a4">
    <w:name w:val="footer"/>
    <w:basedOn w:val="a"/>
    <w:link w:val="Char0"/>
    <w:uiPriority w:val="99"/>
    <w:semiHidden/>
    <w:unhideWhenUsed/>
    <w:rsid w:val="00FE3F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3FC7"/>
    <w:rPr>
      <w:sz w:val="18"/>
      <w:szCs w:val="18"/>
    </w:rPr>
  </w:style>
  <w:style w:type="paragraph" w:styleId="a5">
    <w:name w:val="Normal (Web)"/>
    <w:basedOn w:val="a"/>
    <w:uiPriority w:val="99"/>
    <w:unhideWhenUsed/>
    <w:rsid w:val="00FE3FC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E3FC7"/>
    <w:rPr>
      <w:b/>
      <w:bCs/>
    </w:rPr>
  </w:style>
</w:styles>
</file>

<file path=word/webSettings.xml><?xml version="1.0" encoding="utf-8"?>
<w:webSettings xmlns:r="http://schemas.openxmlformats.org/officeDocument/2006/relationships" xmlns:w="http://schemas.openxmlformats.org/wordprocessingml/2006/main">
  <w:divs>
    <w:div w:id="509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Windows 10</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2021-06-03T10:58:00Z</dcterms:created>
  <dcterms:modified xsi:type="dcterms:W3CDTF">2021-06-03T10:59:00Z</dcterms:modified>
</cp:coreProperties>
</file>