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　袁州区财政局2018年政府信息公开工作年度报告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 xml:space="preserve">   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一、概述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rightChars="0"/>
        <w:jc w:val="both"/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　　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2018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袁州区财政局认真贯彻落实《中华人民共和国政府信息公开条例》、《江西省人民政府办公厅关于印发2018年江西省政务公开工作安排的通知》（赣府厅字〔2018〕50号）文件精神，切实履行工作职责，主动做好政务公开工作。根据要求，现向社会公布袁州区财政局2018年政府信息公开工作年度报告。数据统计期限为2018年1月1日至2018年12月31日。本报告全文在袁州区政府网站上可查阅。2018年，袁州区财政局不断加强政府信息公开力度，及时主动向社会公布财政政策和财政数据，全面推进预决算、政府采购等重点领域信息公开，进一步扩大和细化财政信息公开的范围和内容，增强了财政信息公开的时效性和影响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　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主动公开政府信息情况。2018年，通过区政府网站财政局平台公开政府信息101条，同时，在区政府网站首页开设财政信息，公布预决算、部门预决算、乡镇街道预决算等。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依申请公开政府信息和回应解读情况。2018年未收到依申请公开政府信息和回应解读的信息。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因政府信息公开申请行政复议、提起行政诉讼情况。2018年度没有因政府信息公开而被申请的行政复议。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1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依申请公开信息收取费用的情况。2018年度没有依申请公开信息收取费用的金额发生。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依申请公开政府信息和不予公开政府信息情况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（一）申请情况：2018年度收到申请公开政府信息数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 （二）处理情况：2018年已处理申请情况数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rightChars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　四、政府信息公开的收费及减免情况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 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2018年度未发生信息公开的收费和减免情况。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  <w:rPr>
          <w:rFonts w:hint="eastAsia" w:ascii="黑体" w:hAnsi="黑体" w:eastAsia="黑体" w:cs="黑体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　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2018年度无因政府信息公开申请行政复议、提起行政诉讼的情况。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2018年，财政信息公开工作取得一定成效，但还存在公开深度有待增强、公开范围有待扩大等问题。2019年，袁州区财政局将认真贯彻落实《关于全面推进政务公开工作的意见》，坚持以公开为常态、不公开为例外，紧紧围绕经济社会发展和人民群众关注关切，不断扩大财政信息公开的范围，加强财政信息发布和政策解读。强化信息宣传，及时宣传袁州区财政工作好的经验。</w:t>
      </w:r>
    </w:p>
    <w:p>
      <w:pPr>
        <w:widowControl/>
        <w:shd w:val="clear" w:color="auto" w:fill="FFFFFF"/>
        <w:spacing w:line="500" w:lineRule="exact"/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  <w:lang w:eastAsia="zh-CN"/>
        </w:rPr>
        <w:t>　　七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  <w:t>、其他需要报告的事项</w:t>
      </w: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333333"/>
          <w:kern w:val="0"/>
          <w:sz w:val="24"/>
          <w:szCs w:val="24"/>
        </w:rPr>
        <w:t>　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Cs w:val="32"/>
        </w:rPr>
        <w:t>　</w:t>
      </w: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  <w:t xml:space="preserve"> 无其他需报告的事项</w:t>
      </w: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left"/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政府信息公开情况统计表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br w:type="textWrapping"/>
      </w:r>
      <w:r>
        <w:rPr>
          <w:rFonts w:ascii="楷体_GB2312" w:hAnsi="楷体_GB2312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2018年度）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left"/>
        <w:rPr>
          <w:rFonts w:hint="eastAsia" w:eastAsia="仿宋_GB2312"/>
          <w:lang w:eastAsia="zh-CN"/>
        </w:rPr>
      </w:pP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填报单位（盖章）：袁州区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  <w:t>财政局</w:t>
      </w:r>
    </w:p>
    <w:tbl>
      <w:tblPr>
        <w:tblStyle w:val="3"/>
        <w:tblW w:w="831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3"/>
        <w:gridCol w:w="932"/>
        <w:gridCol w:w="7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统　计　指　标</w:t>
            </w:r>
          </w:p>
        </w:tc>
        <w:tc>
          <w:tcPr>
            <w:tcW w:w="93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单位</w:t>
            </w:r>
          </w:p>
        </w:tc>
        <w:tc>
          <w:tcPr>
            <w:tcW w:w="78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统计数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一、主动公开情况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　　（不同渠道和方式公开相同信息计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条）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　　　　其中：主动公开规范性文件数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　　　　　　　制发规范性文件总数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（二）通过不同渠道和方式公开政府信息的情况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政府公报公开政府信息数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政府网站公开政府信息数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政务微博公开政府信息数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政务微信公开政府信息数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其他方式公开政府信息数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二、回应解读情况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（不同方式回应同一热点或舆情计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次）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（二）通过不同渠道和方式回应解读的情况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参加或举办新闻发布会总次数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其中：主要负责同志参加新闻发布会次数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政府网站在线访谈次数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其中：主要负责同志参加政府网站在线访谈次数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政策解读稿件发布数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篇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微博微信回应事件数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其他方式回应事件数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三、依申请公开情况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（一）收到申请数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当面申请数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传真申请数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网络申请数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信函申请数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（二）申请办结数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按时办结数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延期办结数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（三）申请答复数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属于已主动公开范围数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同意公开答复数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同意部分公开答复数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不同意公开答复数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其中：涉及国家秘密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涉及商业秘密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涉及个人隐私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危及国家安全、公共安全、经济安全和社会稳定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不是《条例》所指政府信息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法律法规规定的其他情形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不属于本行政机关公开数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申请信息不存在数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告知作出更改补充数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告知通过其他途径办理数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四、行政复议数量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（一）维持具体行政行为数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（二）被依法纠错数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（三）其他情形数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五、行政诉讼数量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（一）维持具体行政行为或者驳回原告诉讼请求数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（二）被依法纠错数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（三）其他情形数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六、举报投诉数量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七、依申请公开信息收取的费用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万元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八、机构建设和保障经费情况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（一）政府信息公开工作专门机构数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个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（二）设置政府信息公开查阅点数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个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（三）从事政府信息公开工作人员数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人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专职人员数（不包括政府公报及政府网站工作人员数）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人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兼职人员数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人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万元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九、政府信息公开会议和培训情况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——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（一）召开政府信息公开工作会议或专题会议数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（二）举办各类培训班数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　　（三）接受培训人员数</w:t>
            </w:r>
          </w:p>
        </w:tc>
        <w:tc>
          <w:tcPr>
            <w:tcW w:w="932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人次</w:t>
            </w:r>
          </w:p>
        </w:tc>
        <w:tc>
          <w:tcPr>
            <w:tcW w:w="78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249382"/>
    <w:multiLevelType w:val="singleLevel"/>
    <w:tmpl w:val="3F24938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51633"/>
    <w:rsid w:val="38C5653B"/>
    <w:rsid w:val="43F927E6"/>
    <w:rsid w:val="54D476F3"/>
    <w:rsid w:val="57D81BAD"/>
    <w:rsid w:val="6A9037D0"/>
    <w:rsid w:val="74041541"/>
    <w:rsid w:val="7A9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2021-04-29T09:22:00Z</dcterms:created>
  <dc:creator>尚亦月~养生使者</dc:creator>
  <cp:lastModifiedBy>尚亦月~养生使者</cp:lastModifiedBy>
  <dcterms:modified xsi:type="dcterms:W3CDTF">2021-05-26T10:24:16Z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7C39AA72AFD64D70ABA1457F7BB7DBA6</vt:lpwstr>
  </property>
</Properties>
</file>