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b w:val="0"/>
          <w:bCs/>
          <w:i w:val="0"/>
          <w:caps w:val="0"/>
          <w:color w:val="333333"/>
          <w:spacing w:val="0"/>
          <w:sz w:val="44"/>
          <w:szCs w:val="44"/>
          <w:shd w:val="clear" w:fill="FFFFFF"/>
          <w:lang w:val="en-US" w:eastAsia="zh-CN"/>
        </w:rPr>
      </w:pPr>
      <w:r>
        <w:rPr>
          <w:rFonts w:hint="eastAsia" w:ascii="方正小标宋简体" w:hAnsi="方正小标宋简体" w:eastAsia="方正小标宋简体" w:cs="方正小标宋简体"/>
          <w:b w:val="0"/>
          <w:bCs/>
          <w:i w:val="0"/>
          <w:caps w:val="0"/>
          <w:color w:val="333333"/>
          <w:spacing w:val="0"/>
          <w:sz w:val="44"/>
          <w:szCs w:val="44"/>
          <w:shd w:val="clear" w:fill="FFFFFF"/>
          <w:lang w:val="en-US" w:eastAsia="zh-CN"/>
        </w:rPr>
        <w:t>袁州区行政服务中心管委会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b w:val="0"/>
          <w:bCs/>
          <w:i w:val="0"/>
          <w:caps w:val="0"/>
          <w:color w:val="333333"/>
          <w:spacing w:val="0"/>
          <w:sz w:val="44"/>
          <w:szCs w:val="44"/>
        </w:rPr>
      </w:pPr>
      <w:r>
        <w:rPr>
          <w:rFonts w:hint="eastAsia" w:ascii="方正小标宋简体" w:hAnsi="方正小标宋简体" w:eastAsia="方正小标宋简体" w:cs="方正小标宋简体"/>
          <w:b w:val="0"/>
          <w:bCs/>
          <w:i w:val="0"/>
          <w:caps w:val="0"/>
          <w:color w:val="333333"/>
          <w:spacing w:val="0"/>
          <w:sz w:val="44"/>
          <w:szCs w:val="44"/>
          <w:shd w:val="clear" w:fill="FFFFFF"/>
          <w:lang w:val="en-US" w:eastAsia="zh-CN"/>
        </w:rPr>
        <w:t>2019年</w:t>
      </w:r>
      <w:r>
        <w:rPr>
          <w:rFonts w:hint="eastAsia" w:ascii="方正小标宋简体" w:hAnsi="方正小标宋简体" w:eastAsia="方正小标宋简体" w:cs="方正小标宋简体"/>
          <w:b w:val="0"/>
          <w:bCs/>
          <w:i w:val="0"/>
          <w:caps w:val="0"/>
          <w:color w:val="333333"/>
          <w:spacing w:val="0"/>
          <w:sz w:val="44"/>
          <w:szCs w:val="44"/>
          <w:shd w:val="clear" w:fill="FFFFFF"/>
        </w:rPr>
        <w:t>政府信息公开工作年度报告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宋体" w:hAnsi="宋体" w:eastAsia="宋体" w:cs="宋体"/>
          <w:i w:val="0"/>
          <w:caps w:val="0"/>
          <w:color w:val="333333"/>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rPr>
        <w:t>本报告依据《中华人民共和国政府信息公开条例》（国务院令第711号，以下简称新《条例》）和《国务院办公厅政府信息与政务公开办公室关于政府信息公开工作年度报告有关事项的通知》（国办公开办函〔2019〕60号）要求，由</w:t>
      </w:r>
      <w:r>
        <w:rPr>
          <w:rFonts w:hint="eastAsia" w:ascii="宋体" w:hAnsi="宋体" w:eastAsia="宋体" w:cs="宋体"/>
          <w:i w:val="0"/>
          <w:caps w:val="0"/>
          <w:color w:val="333333"/>
          <w:spacing w:val="0"/>
          <w:sz w:val="32"/>
          <w:szCs w:val="32"/>
          <w:lang w:eastAsia="zh-CN"/>
        </w:rPr>
        <w:t>袁州区行政服务中心管委会</w:t>
      </w:r>
      <w:r>
        <w:rPr>
          <w:rFonts w:hint="eastAsia" w:ascii="宋体" w:hAnsi="宋体" w:eastAsia="宋体" w:cs="宋体"/>
          <w:i w:val="0"/>
          <w:caps w:val="0"/>
          <w:color w:val="333333"/>
          <w:spacing w:val="0"/>
          <w:sz w:val="32"/>
          <w:szCs w:val="32"/>
        </w:rPr>
        <w:t>结合有关统计数据编制。本年度报告中所列数据的统计期限自</w:t>
      </w:r>
      <w:r>
        <w:rPr>
          <w:rFonts w:hint="eastAsia" w:ascii="宋体" w:hAnsi="宋体" w:eastAsia="宋体" w:cs="宋体"/>
          <w:i w:val="0"/>
          <w:caps w:val="0"/>
          <w:color w:val="333333"/>
          <w:spacing w:val="0"/>
          <w:sz w:val="32"/>
          <w:szCs w:val="32"/>
          <w:lang w:val="en-US" w:eastAsia="zh-CN"/>
        </w:rPr>
        <w:t>2019</w:t>
      </w:r>
      <w:r>
        <w:rPr>
          <w:rFonts w:hint="eastAsia" w:ascii="宋体" w:hAnsi="宋体" w:eastAsia="宋体" w:cs="宋体"/>
          <w:i w:val="0"/>
          <w:caps w:val="0"/>
          <w:color w:val="333333"/>
          <w:spacing w:val="0"/>
          <w:sz w:val="32"/>
          <w:szCs w:val="32"/>
        </w:rPr>
        <w:t>年1月1日起至</w:t>
      </w:r>
      <w:r>
        <w:rPr>
          <w:rFonts w:hint="eastAsia" w:ascii="宋体" w:hAnsi="宋体" w:eastAsia="宋体" w:cs="宋体"/>
          <w:i w:val="0"/>
          <w:caps w:val="0"/>
          <w:color w:val="333333"/>
          <w:spacing w:val="0"/>
          <w:sz w:val="32"/>
          <w:szCs w:val="32"/>
          <w:lang w:val="en-US" w:eastAsia="zh-CN"/>
        </w:rPr>
        <w:t>2019</w:t>
      </w:r>
      <w:r>
        <w:rPr>
          <w:rFonts w:hint="eastAsia" w:ascii="宋体" w:hAnsi="宋体" w:eastAsia="宋体" w:cs="宋体"/>
          <w:i w:val="0"/>
          <w:caps w:val="0"/>
          <w:color w:val="333333"/>
          <w:spacing w:val="0"/>
          <w:sz w:val="32"/>
          <w:szCs w:val="32"/>
        </w:rPr>
        <w:t>年12月31日止。全文包括总体情况、存在的主要问题及改进情况、其他需要报告的事项。如对本报告有任何疑问，请与</w:t>
      </w:r>
      <w:r>
        <w:rPr>
          <w:rFonts w:hint="eastAsia" w:ascii="宋体" w:hAnsi="宋体" w:eastAsia="宋体" w:cs="宋体"/>
          <w:i w:val="0"/>
          <w:caps w:val="0"/>
          <w:color w:val="333333"/>
          <w:spacing w:val="0"/>
          <w:sz w:val="32"/>
          <w:szCs w:val="32"/>
          <w:lang w:eastAsia="zh-CN"/>
        </w:rPr>
        <w:t>袁州区行政服务中心管委会</w:t>
      </w:r>
      <w:r>
        <w:rPr>
          <w:rFonts w:hint="eastAsia" w:ascii="宋体" w:hAnsi="宋体" w:eastAsia="宋体" w:cs="宋体"/>
          <w:i w:val="0"/>
          <w:caps w:val="0"/>
          <w:color w:val="333333"/>
          <w:spacing w:val="0"/>
          <w:sz w:val="32"/>
          <w:szCs w:val="32"/>
        </w:rPr>
        <w:t>联系（电话：</w:t>
      </w:r>
      <w:r>
        <w:rPr>
          <w:rFonts w:hint="eastAsia" w:ascii="宋体" w:hAnsi="宋体" w:eastAsia="宋体" w:cs="宋体"/>
          <w:i w:val="0"/>
          <w:caps w:val="0"/>
          <w:color w:val="333333"/>
          <w:spacing w:val="0"/>
          <w:sz w:val="32"/>
          <w:szCs w:val="32"/>
          <w:lang w:val="en-US" w:eastAsia="zh-CN"/>
        </w:rPr>
        <w:t>0795-3998056</w:t>
      </w:r>
      <w:r>
        <w:rPr>
          <w:rFonts w:hint="eastAsia" w:ascii="宋体" w:hAnsi="宋体" w:eastAsia="宋体" w:cs="宋体"/>
          <w:i w:val="0"/>
          <w:caps w:val="0"/>
          <w:color w:val="333333"/>
          <w:spacing w:val="0"/>
          <w:sz w:val="32"/>
          <w:szCs w:val="32"/>
        </w:rPr>
        <w:t>）。</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3" w:firstLineChars="200"/>
        <w:jc w:val="both"/>
        <w:rPr>
          <w:rFonts w:hint="eastAsia" w:ascii="黑体" w:hAnsi="黑体" w:eastAsia="黑体" w:cs="黑体"/>
          <w:b/>
          <w:bCs w:val="0"/>
          <w:i w:val="0"/>
          <w:caps w:val="0"/>
          <w:color w:val="333333"/>
          <w:spacing w:val="0"/>
          <w:sz w:val="32"/>
          <w:szCs w:val="32"/>
          <w:shd w:val="clear" w:fill="FFFFFF"/>
        </w:rPr>
      </w:pPr>
      <w:r>
        <w:rPr>
          <w:rFonts w:hint="eastAsia" w:ascii="黑体" w:hAnsi="黑体" w:eastAsia="黑体" w:cs="黑体"/>
          <w:b/>
          <w:bCs w:val="0"/>
          <w:i w:val="0"/>
          <w:caps w:val="0"/>
          <w:color w:val="333333"/>
          <w:spacing w:val="0"/>
          <w:sz w:val="32"/>
          <w:szCs w:val="32"/>
          <w:shd w:val="clear" w:fill="FFFFFF"/>
          <w:lang w:eastAsia="zh-CN"/>
        </w:rPr>
        <w:t>一、</w:t>
      </w:r>
      <w:r>
        <w:rPr>
          <w:rFonts w:hint="eastAsia" w:ascii="黑体" w:hAnsi="黑体" w:eastAsia="黑体" w:cs="黑体"/>
          <w:b/>
          <w:bCs w:val="0"/>
          <w:i w:val="0"/>
          <w:caps w:val="0"/>
          <w:color w:val="333333"/>
          <w:spacing w:val="0"/>
          <w:sz w:val="32"/>
          <w:szCs w:val="32"/>
          <w:shd w:val="clear" w:fill="FFFFFF"/>
        </w:rPr>
        <w:t>总体情况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2019年行政服务中心管委会坚持以习近平新时代中国特色社会主义思想为指导，深入贯彻党的十九大和十九届二中、三中、四中、五中全会精神，严格落实《国务院办公厅印发〈关于全面推进政务公开工作的意见〉实施细则的通知》（国办发〔2016〕80号）的要求。紧紧围绕省委、省政府中心工作及社会群众关注关切，着力提升政府信息公开质量，推进拓宽政府信息公开渠道，不断增强政府信息公开实效。</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Arial" w:hAnsi="Arial" w:eastAsia="微软雅黑" w:cs="Arial"/>
          <w:b/>
          <w:bCs/>
          <w:color w:val="333333"/>
          <w:kern w:val="0"/>
          <w:sz w:val="24"/>
          <w:szCs w:val="24"/>
        </w:rPr>
      </w:pPr>
      <w:r>
        <w:rPr>
          <w:rFonts w:hint="eastAsia" w:ascii="宋体" w:hAnsi="宋体" w:eastAsia="宋体" w:cs="宋体"/>
          <w:i w:val="0"/>
          <w:caps w:val="0"/>
          <w:color w:val="333333"/>
          <w:spacing w:val="0"/>
          <w:sz w:val="32"/>
          <w:szCs w:val="32"/>
          <w:shd w:val="clear" w:fill="FFFFFF"/>
          <w:lang w:val="en-US" w:eastAsia="zh-CN"/>
        </w:rPr>
        <w:t>截止目前，主动公开工作动态96条，其中，政务动态40条，公告公示26条，统计数据30条。另外，公开发展规划里的工作计划1条，法规文件里的规范性文件6条，人事信息里的表彰奖励2条，其他有关文件7条，概括信息3条。政府信息公开合计115条。</w:t>
      </w:r>
      <w:r>
        <w:rPr>
          <w:rFonts w:hint="eastAsia" w:ascii="Arial" w:hAnsi="Arial" w:eastAsia="微软雅黑" w:cs="Arial"/>
          <w:b/>
          <w:bCs/>
          <w:color w:val="333333"/>
          <w:kern w:val="0"/>
          <w:sz w:val="24"/>
          <w:szCs w:val="24"/>
        </w:rPr>
        <w:t>　　</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3" w:firstLineChars="200"/>
        <w:jc w:val="both"/>
        <w:textAlignment w:val="auto"/>
        <w:rPr>
          <w:rFonts w:hint="eastAsia" w:ascii="黑体" w:hAnsi="黑体" w:eastAsia="黑体" w:cs="黑体"/>
          <w:color w:val="333333"/>
          <w:kern w:val="0"/>
          <w:sz w:val="32"/>
          <w:szCs w:val="32"/>
        </w:rPr>
      </w:pPr>
      <w:r>
        <w:rPr>
          <w:rFonts w:hint="eastAsia" w:ascii="黑体" w:hAnsi="黑体" w:eastAsia="黑体" w:cs="黑体"/>
          <w:b/>
          <w:bCs/>
          <w:color w:val="333333"/>
          <w:kern w:val="0"/>
          <w:sz w:val="32"/>
          <w:szCs w:val="32"/>
        </w:rPr>
        <w:t>二、主动公开政府信息情况</w:t>
      </w:r>
    </w:p>
    <w:tbl>
      <w:tblPr>
        <w:tblStyle w:val="5"/>
        <w:tblW w:w="8145" w:type="dxa"/>
        <w:jc w:val="center"/>
        <w:tblCellSpacing w:w="0" w:type="dxa"/>
        <w:tblLayout w:type="autofit"/>
        <w:tblCellMar>
          <w:top w:w="0" w:type="dxa"/>
          <w:left w:w="0" w:type="dxa"/>
          <w:bottom w:w="0" w:type="dxa"/>
          <w:right w:w="0" w:type="dxa"/>
        </w:tblCellMar>
      </w:tblPr>
      <w:tblGrid>
        <w:gridCol w:w="3150"/>
        <w:gridCol w:w="1890"/>
        <w:gridCol w:w="1275"/>
        <w:gridCol w:w="1890"/>
      </w:tblGrid>
      <w:tr>
        <w:tblPrEx>
          <w:tblCellMar>
            <w:top w:w="0" w:type="dxa"/>
            <w:left w:w="0" w:type="dxa"/>
            <w:bottom w:w="0" w:type="dxa"/>
            <w:right w:w="0" w:type="dxa"/>
          </w:tblCellMar>
        </w:tblPrEx>
        <w:trPr>
          <w:trHeight w:val="495" w:hRule="atLeast"/>
          <w:tblCellSpacing w:w="0" w:type="dxa"/>
          <w:jc w:val="center"/>
        </w:trPr>
        <w:tc>
          <w:tcPr>
            <w:tcW w:w="8145" w:type="dxa"/>
            <w:gridSpan w:val="4"/>
            <w:tcBorders>
              <w:top w:val="single" w:color="000000" w:sz="6" w:space="0"/>
              <w:left w:val="single" w:color="000000" w:sz="6" w:space="0"/>
              <w:bottom w:val="single" w:color="000000" w:sz="6" w:space="0"/>
              <w:right w:val="single" w:color="000000" w:sz="6" w:space="0"/>
            </w:tcBorders>
            <w:shd w:val="clear" w:color="auto" w:fill="C6D9F1"/>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第二十条第（一）项</w:t>
            </w:r>
          </w:p>
        </w:tc>
      </w:tr>
      <w:tr>
        <w:tblPrEx>
          <w:tblCellMar>
            <w:top w:w="0" w:type="dxa"/>
            <w:left w:w="0" w:type="dxa"/>
            <w:bottom w:w="0" w:type="dxa"/>
            <w:right w:w="0" w:type="dxa"/>
          </w:tblCellMar>
        </w:tblPrEx>
        <w:trPr>
          <w:trHeight w:val="885" w:hRule="atLeast"/>
          <w:tblCellSpacing w:w="0" w:type="dxa"/>
          <w:jc w:val="center"/>
        </w:trPr>
        <w:tc>
          <w:tcPr>
            <w:tcW w:w="3120" w:type="dxa"/>
            <w:tcBorders>
              <w:top w:val="nil"/>
              <w:left w:val="single" w:color="auto" w:sz="6" w:space="0"/>
              <w:bottom w:val="single" w:color="auto" w:sz="6" w:space="0"/>
              <w:right w:val="single" w:color="auto" w:sz="6" w:space="0"/>
            </w:tcBorders>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信息内容</w:t>
            </w:r>
          </w:p>
        </w:tc>
        <w:tc>
          <w:tcPr>
            <w:tcW w:w="1875" w:type="dxa"/>
            <w:tcBorders>
              <w:top w:val="single" w:color="auto" w:sz="6" w:space="0"/>
              <w:left w:val="nil"/>
              <w:bottom w:val="single" w:color="auto" w:sz="6" w:space="0"/>
              <w:right w:val="single" w:color="auto" w:sz="6" w:space="0"/>
            </w:tcBorders>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本年新</w:t>
            </w:r>
            <w:r>
              <w:rPr>
                <w:rFonts w:ascii="微软雅黑" w:hAnsi="微软雅黑" w:eastAsia="微软雅黑" w:cs="宋体"/>
                <w:color w:val="000000"/>
                <w:kern w:val="0"/>
                <w:sz w:val="20"/>
              </w:rPr>
              <w:br w:type="textWrapping"/>
            </w:r>
            <w:r>
              <w:rPr>
                <w:rFonts w:hint="eastAsia" w:ascii="微软雅黑" w:hAnsi="微软雅黑" w:eastAsia="微软雅黑" w:cs="宋体"/>
                <w:kern w:val="0"/>
                <w:sz w:val="20"/>
              </w:rPr>
              <w:t>制作数量</w:t>
            </w:r>
          </w:p>
        </w:tc>
        <w:tc>
          <w:tcPr>
            <w:tcW w:w="127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本年新</w:t>
            </w:r>
            <w:r>
              <w:rPr>
                <w:rFonts w:ascii="微软雅黑" w:hAnsi="微软雅黑" w:eastAsia="微软雅黑" w:cs="宋体"/>
                <w:color w:val="000000"/>
                <w:kern w:val="0"/>
                <w:sz w:val="20"/>
              </w:rPr>
              <w:br w:type="textWrapping"/>
            </w:r>
            <w:r>
              <w:rPr>
                <w:rFonts w:hint="eastAsia" w:ascii="微软雅黑" w:hAnsi="微软雅黑" w:eastAsia="微软雅黑" w:cs="宋体"/>
                <w:kern w:val="0"/>
                <w:sz w:val="20"/>
              </w:rPr>
              <w:t>公开数量</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bookmarkStart w:id="0" w:name="_GoBack"/>
            <w:bookmarkEnd w:id="0"/>
            <w:r>
              <w:rPr>
                <w:rFonts w:hint="eastAsia" w:ascii="微软雅黑" w:hAnsi="微软雅黑" w:eastAsia="微软雅黑" w:cs="宋体"/>
                <w:color w:val="000000"/>
                <w:kern w:val="0"/>
                <w:sz w:val="20"/>
              </w:rPr>
              <w:t>对外公开总数量</w:t>
            </w:r>
          </w:p>
        </w:tc>
      </w:tr>
      <w:tr>
        <w:tblPrEx>
          <w:tblCellMar>
            <w:top w:w="0" w:type="dxa"/>
            <w:left w:w="0" w:type="dxa"/>
            <w:bottom w:w="0" w:type="dxa"/>
            <w:right w:w="0" w:type="dxa"/>
          </w:tblCellMar>
        </w:tblPrEx>
        <w:trPr>
          <w:trHeight w:val="525" w:hRule="atLeast"/>
          <w:tblCellSpacing w:w="0" w:type="dxa"/>
          <w:jc w:val="center"/>
        </w:trPr>
        <w:tc>
          <w:tcPr>
            <w:tcW w:w="3120" w:type="dxa"/>
            <w:tcBorders>
              <w:top w:val="nil"/>
              <w:left w:val="single" w:color="auto" w:sz="6" w:space="0"/>
              <w:bottom w:val="single" w:color="auto" w:sz="6" w:space="0"/>
              <w:right w:val="single" w:color="auto" w:sz="6" w:space="0"/>
            </w:tcBorders>
            <w:noWrap/>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微软雅黑" w:hAnsi="微软雅黑" w:eastAsia="微软雅黑" w:cs="宋体"/>
                <w:color w:val="000000"/>
                <w:kern w:val="0"/>
                <w:sz w:val="20"/>
              </w:rPr>
              <w:t>规章</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left"/>
              <w:rPr>
                <w:rFonts w:hint="default"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 xml:space="preserve">   0</w:t>
            </w:r>
          </w:p>
        </w:tc>
        <w:tc>
          <w:tcPr>
            <w:tcW w:w="127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default"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r>
      <w:tr>
        <w:tblPrEx>
          <w:tblCellMar>
            <w:top w:w="0" w:type="dxa"/>
            <w:left w:w="0" w:type="dxa"/>
            <w:bottom w:w="0" w:type="dxa"/>
            <w:right w:w="0" w:type="dxa"/>
          </w:tblCellMar>
        </w:tblPrEx>
        <w:trPr>
          <w:trHeight w:val="465" w:hRule="atLeast"/>
          <w:tblCellSpacing w:w="0" w:type="dxa"/>
          <w:jc w:val="center"/>
        </w:trPr>
        <w:tc>
          <w:tcPr>
            <w:tcW w:w="3120" w:type="dxa"/>
            <w:tcBorders>
              <w:top w:val="nil"/>
              <w:left w:val="single" w:color="auto" w:sz="6" w:space="0"/>
              <w:bottom w:val="single" w:color="auto" w:sz="6" w:space="0"/>
              <w:right w:val="single" w:color="auto" w:sz="6" w:space="0"/>
            </w:tcBorders>
            <w:noWrap/>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微软雅黑" w:hAnsi="微软雅黑" w:eastAsia="微软雅黑" w:cs="宋体"/>
                <w:color w:val="000000"/>
                <w:kern w:val="0"/>
                <w:sz w:val="20"/>
              </w:rPr>
              <w:t>规范性文件</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left"/>
              <w:rPr>
                <w:rFonts w:hint="default"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 xml:space="preserve">     0</w:t>
            </w:r>
          </w:p>
        </w:tc>
        <w:tc>
          <w:tcPr>
            <w:tcW w:w="127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default"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 xml:space="preserve">  0</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r>
      <w:tr>
        <w:tblPrEx>
          <w:tblCellMar>
            <w:top w:w="0" w:type="dxa"/>
            <w:left w:w="0" w:type="dxa"/>
            <w:bottom w:w="0" w:type="dxa"/>
            <w:right w:w="0" w:type="dxa"/>
          </w:tblCellMar>
        </w:tblPrEx>
        <w:trPr>
          <w:trHeight w:val="480" w:hRule="atLeast"/>
          <w:tblCellSpacing w:w="0" w:type="dxa"/>
          <w:jc w:val="center"/>
        </w:trPr>
        <w:tc>
          <w:tcPr>
            <w:tcW w:w="8145" w:type="dxa"/>
            <w:gridSpan w:val="4"/>
            <w:tcBorders>
              <w:top w:val="nil"/>
              <w:left w:val="single" w:color="auto" w:sz="6" w:space="0"/>
              <w:bottom w:val="single" w:color="auto" w:sz="6" w:space="0"/>
              <w:right w:val="single" w:color="auto" w:sz="6" w:space="0"/>
            </w:tcBorders>
            <w:shd w:val="clear" w:color="auto" w:fill="C6D9F1"/>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第二十条第（五）项</w:t>
            </w:r>
          </w:p>
        </w:tc>
      </w:tr>
      <w:tr>
        <w:tblPrEx>
          <w:tblCellMar>
            <w:top w:w="0" w:type="dxa"/>
            <w:left w:w="0" w:type="dxa"/>
            <w:bottom w:w="0" w:type="dxa"/>
            <w:right w:w="0" w:type="dxa"/>
          </w:tblCellMar>
        </w:tblPrEx>
        <w:trPr>
          <w:trHeight w:val="630" w:hRule="atLeast"/>
          <w:tblCellSpacing w:w="0" w:type="dxa"/>
          <w:jc w:val="center"/>
        </w:trPr>
        <w:tc>
          <w:tcPr>
            <w:tcW w:w="3120" w:type="dxa"/>
            <w:tcBorders>
              <w:top w:val="nil"/>
              <w:left w:val="single" w:color="auto" w:sz="6" w:space="0"/>
              <w:bottom w:val="single" w:color="auto" w:sz="6" w:space="0"/>
              <w:right w:val="single" w:color="auto" w:sz="6" w:space="0"/>
            </w:tcBorders>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信息内容</w:t>
            </w:r>
          </w:p>
        </w:tc>
        <w:tc>
          <w:tcPr>
            <w:tcW w:w="1875" w:type="dxa"/>
            <w:tcBorders>
              <w:top w:val="single" w:color="auto" w:sz="6" w:space="0"/>
              <w:left w:val="nil"/>
              <w:bottom w:val="single" w:color="auto" w:sz="6" w:space="0"/>
              <w:right w:val="single" w:color="auto" w:sz="6" w:space="0"/>
            </w:tcBorders>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上一年项目数量</w:t>
            </w:r>
          </w:p>
        </w:tc>
        <w:tc>
          <w:tcPr>
            <w:tcW w:w="127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本年增</w:t>
            </w:r>
            <w:r>
              <w:rPr>
                <w:rFonts w:ascii="微软雅黑" w:hAnsi="微软雅黑" w:eastAsia="微软雅黑" w:cs="宋体"/>
                <w:color w:val="000000"/>
                <w:kern w:val="0"/>
                <w:sz w:val="20"/>
              </w:rPr>
              <w:t>/</w:t>
            </w:r>
            <w:r>
              <w:rPr>
                <w:rFonts w:hint="eastAsia" w:ascii="微软雅黑" w:hAnsi="微软雅黑" w:eastAsia="微软雅黑" w:cs="宋体"/>
                <w:color w:val="000000"/>
                <w:kern w:val="0"/>
                <w:sz w:val="20"/>
              </w:rPr>
              <w:t>减</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处理决定数量</w:t>
            </w:r>
          </w:p>
        </w:tc>
      </w:tr>
      <w:tr>
        <w:tblPrEx>
          <w:tblCellMar>
            <w:top w:w="0" w:type="dxa"/>
            <w:left w:w="0" w:type="dxa"/>
            <w:bottom w:w="0" w:type="dxa"/>
            <w:right w:w="0" w:type="dxa"/>
          </w:tblCellMar>
        </w:tblPrEx>
        <w:trPr>
          <w:trHeight w:val="525" w:hRule="atLeast"/>
          <w:tblCellSpacing w:w="0" w:type="dxa"/>
          <w:jc w:val="center"/>
        </w:trPr>
        <w:tc>
          <w:tcPr>
            <w:tcW w:w="3120" w:type="dxa"/>
            <w:tcBorders>
              <w:top w:val="nil"/>
              <w:left w:val="single" w:color="auto" w:sz="6" w:space="0"/>
              <w:bottom w:val="single" w:color="auto" w:sz="6" w:space="0"/>
              <w:right w:val="single" w:color="auto" w:sz="6" w:space="0"/>
            </w:tcBorders>
            <w:noWrap/>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微软雅黑" w:hAnsi="微软雅黑" w:eastAsia="微软雅黑" w:cs="宋体"/>
                <w:color w:val="000000"/>
                <w:kern w:val="0"/>
                <w:sz w:val="20"/>
              </w:rPr>
              <w:t>行政许可</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1260"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r>
      <w:tr>
        <w:tblPrEx>
          <w:tblCellMar>
            <w:top w:w="0" w:type="dxa"/>
            <w:left w:w="0" w:type="dxa"/>
            <w:bottom w:w="0" w:type="dxa"/>
            <w:right w:w="0" w:type="dxa"/>
          </w:tblCellMar>
        </w:tblPrEx>
        <w:trPr>
          <w:trHeight w:val="555" w:hRule="atLeast"/>
          <w:tblCellSpacing w:w="0" w:type="dxa"/>
          <w:jc w:val="center"/>
        </w:trPr>
        <w:tc>
          <w:tcPr>
            <w:tcW w:w="3120" w:type="dxa"/>
            <w:tcBorders>
              <w:top w:val="nil"/>
              <w:left w:val="single" w:color="auto" w:sz="6" w:space="0"/>
              <w:bottom w:val="single" w:color="auto" w:sz="6" w:space="0"/>
              <w:right w:val="single" w:color="auto" w:sz="6" w:space="0"/>
            </w:tcBorders>
            <w:noWrap/>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微软雅黑" w:hAnsi="微软雅黑" w:eastAsia="微软雅黑" w:cs="宋体"/>
                <w:color w:val="000000"/>
                <w:kern w:val="0"/>
                <w:sz w:val="20"/>
              </w:rPr>
              <w:t>其他对外管理服务事项</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1260"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r>
      <w:tr>
        <w:tblPrEx>
          <w:tblCellMar>
            <w:top w:w="0" w:type="dxa"/>
            <w:left w:w="0" w:type="dxa"/>
            <w:bottom w:w="0" w:type="dxa"/>
            <w:right w:w="0" w:type="dxa"/>
          </w:tblCellMar>
        </w:tblPrEx>
        <w:trPr>
          <w:trHeight w:val="405" w:hRule="atLeast"/>
          <w:tblCellSpacing w:w="0" w:type="dxa"/>
          <w:jc w:val="center"/>
        </w:trPr>
        <w:tc>
          <w:tcPr>
            <w:tcW w:w="8145" w:type="dxa"/>
            <w:gridSpan w:val="4"/>
            <w:tcBorders>
              <w:top w:val="nil"/>
              <w:left w:val="single" w:color="auto" w:sz="6" w:space="0"/>
              <w:bottom w:val="single" w:color="auto" w:sz="6" w:space="0"/>
              <w:right w:val="single" w:color="auto" w:sz="6" w:space="0"/>
            </w:tcBorders>
            <w:shd w:val="clear" w:color="auto" w:fill="C6D9F1"/>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第二十条第（六）项</w:t>
            </w:r>
          </w:p>
        </w:tc>
      </w:tr>
      <w:tr>
        <w:tblPrEx>
          <w:tblCellMar>
            <w:top w:w="0" w:type="dxa"/>
            <w:left w:w="0" w:type="dxa"/>
            <w:bottom w:w="0" w:type="dxa"/>
            <w:right w:w="0" w:type="dxa"/>
          </w:tblCellMar>
        </w:tblPrEx>
        <w:trPr>
          <w:trHeight w:val="630" w:hRule="atLeast"/>
          <w:tblCellSpacing w:w="0" w:type="dxa"/>
          <w:jc w:val="center"/>
        </w:trPr>
        <w:tc>
          <w:tcPr>
            <w:tcW w:w="3120" w:type="dxa"/>
            <w:tcBorders>
              <w:top w:val="nil"/>
              <w:left w:val="single" w:color="auto" w:sz="6" w:space="0"/>
              <w:bottom w:val="single" w:color="auto" w:sz="6" w:space="0"/>
              <w:right w:val="single" w:color="auto" w:sz="6" w:space="0"/>
            </w:tcBorders>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信息内容</w:t>
            </w:r>
          </w:p>
        </w:tc>
        <w:tc>
          <w:tcPr>
            <w:tcW w:w="1875" w:type="dxa"/>
            <w:tcBorders>
              <w:top w:val="single" w:color="auto" w:sz="6" w:space="0"/>
              <w:left w:val="nil"/>
              <w:bottom w:val="single" w:color="auto" w:sz="6" w:space="0"/>
              <w:right w:val="single" w:color="auto" w:sz="6" w:space="0"/>
            </w:tcBorders>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上一年项目数量</w:t>
            </w:r>
          </w:p>
        </w:tc>
        <w:tc>
          <w:tcPr>
            <w:tcW w:w="127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本年增</w:t>
            </w:r>
            <w:r>
              <w:rPr>
                <w:rFonts w:ascii="微软雅黑" w:hAnsi="微软雅黑" w:eastAsia="微软雅黑" w:cs="宋体"/>
                <w:color w:val="000000"/>
                <w:kern w:val="0"/>
                <w:sz w:val="20"/>
              </w:rPr>
              <w:t>/</w:t>
            </w:r>
            <w:r>
              <w:rPr>
                <w:rFonts w:hint="eastAsia" w:ascii="微软雅黑" w:hAnsi="微软雅黑" w:eastAsia="微软雅黑" w:cs="宋体"/>
                <w:color w:val="000000"/>
                <w:kern w:val="0"/>
                <w:sz w:val="20"/>
              </w:rPr>
              <w:t>减</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处理决定数量</w:t>
            </w:r>
          </w:p>
        </w:tc>
      </w:tr>
      <w:tr>
        <w:tblPrEx>
          <w:tblCellMar>
            <w:top w:w="0" w:type="dxa"/>
            <w:left w:w="0" w:type="dxa"/>
            <w:bottom w:w="0" w:type="dxa"/>
            <w:right w:w="0" w:type="dxa"/>
          </w:tblCellMar>
        </w:tblPrEx>
        <w:trPr>
          <w:trHeight w:val="435" w:hRule="atLeast"/>
          <w:tblCellSpacing w:w="0" w:type="dxa"/>
          <w:jc w:val="center"/>
        </w:trPr>
        <w:tc>
          <w:tcPr>
            <w:tcW w:w="3120" w:type="dxa"/>
            <w:tcBorders>
              <w:top w:val="nil"/>
              <w:left w:val="single" w:color="auto" w:sz="6" w:space="0"/>
              <w:bottom w:val="single" w:color="auto" w:sz="6" w:space="0"/>
              <w:right w:val="single" w:color="auto" w:sz="6" w:space="0"/>
            </w:tcBorders>
            <w:noWrap/>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微软雅黑" w:hAnsi="微软雅黑" w:eastAsia="微软雅黑" w:cs="宋体"/>
                <w:color w:val="000000"/>
                <w:kern w:val="0"/>
                <w:sz w:val="20"/>
              </w:rPr>
              <w:t>行政处罚</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1260"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r>
      <w:tr>
        <w:tblPrEx>
          <w:tblCellMar>
            <w:top w:w="0" w:type="dxa"/>
            <w:left w:w="0" w:type="dxa"/>
            <w:bottom w:w="0" w:type="dxa"/>
            <w:right w:w="0" w:type="dxa"/>
          </w:tblCellMar>
        </w:tblPrEx>
        <w:trPr>
          <w:trHeight w:val="405" w:hRule="atLeast"/>
          <w:tblCellSpacing w:w="0" w:type="dxa"/>
          <w:jc w:val="center"/>
        </w:trPr>
        <w:tc>
          <w:tcPr>
            <w:tcW w:w="3120" w:type="dxa"/>
            <w:tcBorders>
              <w:top w:val="nil"/>
              <w:left w:val="single" w:color="auto" w:sz="6" w:space="0"/>
              <w:bottom w:val="single" w:color="auto" w:sz="6" w:space="0"/>
              <w:right w:val="single" w:color="auto" w:sz="6" w:space="0"/>
            </w:tcBorders>
            <w:noWrap/>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微软雅黑" w:hAnsi="微软雅黑" w:eastAsia="微软雅黑" w:cs="宋体"/>
                <w:color w:val="000000"/>
                <w:kern w:val="0"/>
                <w:sz w:val="20"/>
              </w:rPr>
              <w:t>行政强制</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1260"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r>
      <w:tr>
        <w:tblPrEx>
          <w:tblCellMar>
            <w:top w:w="0" w:type="dxa"/>
            <w:left w:w="0" w:type="dxa"/>
            <w:bottom w:w="0" w:type="dxa"/>
            <w:right w:w="0" w:type="dxa"/>
          </w:tblCellMar>
        </w:tblPrEx>
        <w:trPr>
          <w:trHeight w:val="480" w:hRule="atLeast"/>
          <w:tblCellSpacing w:w="0" w:type="dxa"/>
          <w:jc w:val="center"/>
        </w:trPr>
        <w:tc>
          <w:tcPr>
            <w:tcW w:w="8145" w:type="dxa"/>
            <w:gridSpan w:val="4"/>
            <w:tcBorders>
              <w:top w:val="nil"/>
              <w:left w:val="single" w:color="auto" w:sz="6" w:space="0"/>
              <w:bottom w:val="single" w:color="auto" w:sz="6" w:space="0"/>
              <w:right w:val="single" w:color="auto" w:sz="6" w:space="0"/>
            </w:tcBorders>
            <w:shd w:val="clear" w:color="auto" w:fill="C6D9F1"/>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第二十条第（八）项</w:t>
            </w:r>
          </w:p>
        </w:tc>
      </w:tr>
      <w:tr>
        <w:tblPrEx>
          <w:tblCellMar>
            <w:top w:w="0" w:type="dxa"/>
            <w:left w:w="0" w:type="dxa"/>
            <w:bottom w:w="0" w:type="dxa"/>
            <w:right w:w="0" w:type="dxa"/>
          </w:tblCellMar>
        </w:tblPrEx>
        <w:trPr>
          <w:trHeight w:val="270" w:hRule="atLeast"/>
          <w:tblCellSpacing w:w="0" w:type="dxa"/>
          <w:jc w:val="center"/>
        </w:trPr>
        <w:tc>
          <w:tcPr>
            <w:tcW w:w="3120" w:type="dxa"/>
            <w:tcBorders>
              <w:top w:val="nil"/>
              <w:left w:val="single" w:color="auto" w:sz="6" w:space="0"/>
              <w:bottom w:val="single" w:color="auto" w:sz="6" w:space="0"/>
              <w:right w:val="single" w:color="auto" w:sz="6" w:space="0"/>
            </w:tcBorders>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信息内容</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微软雅黑" w:hAnsi="微软雅黑" w:eastAsia="微软雅黑" w:cs="宋体"/>
                <w:color w:val="000000"/>
                <w:kern w:val="0"/>
                <w:sz w:val="20"/>
              </w:rPr>
              <w:t>上一年项目数量</w:t>
            </w:r>
          </w:p>
        </w:tc>
        <w:tc>
          <w:tcPr>
            <w:tcW w:w="3150" w:type="dxa"/>
            <w:gridSpan w:val="2"/>
            <w:tcBorders>
              <w:top w:val="single" w:color="auto" w:sz="6" w:space="0"/>
              <w:left w:val="nil"/>
              <w:bottom w:val="single" w:color="auto" w:sz="6" w:space="0"/>
              <w:right w:val="single" w:color="auto" w:sz="6" w:space="0"/>
            </w:tcBorders>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本年增</w:t>
            </w:r>
            <w:r>
              <w:rPr>
                <w:rFonts w:ascii="微软雅黑" w:hAnsi="微软雅黑" w:eastAsia="微软雅黑" w:cs="宋体"/>
                <w:color w:val="000000"/>
                <w:kern w:val="0"/>
                <w:sz w:val="20"/>
              </w:rPr>
              <w:t>/</w:t>
            </w:r>
            <w:r>
              <w:rPr>
                <w:rFonts w:hint="eastAsia" w:ascii="微软雅黑" w:hAnsi="微软雅黑" w:eastAsia="微软雅黑" w:cs="宋体"/>
                <w:color w:val="000000"/>
                <w:kern w:val="0"/>
                <w:sz w:val="20"/>
              </w:rPr>
              <w:t>减</w:t>
            </w:r>
          </w:p>
        </w:tc>
      </w:tr>
      <w:tr>
        <w:tblPrEx>
          <w:tblCellMar>
            <w:top w:w="0" w:type="dxa"/>
            <w:left w:w="0" w:type="dxa"/>
            <w:bottom w:w="0" w:type="dxa"/>
            <w:right w:w="0" w:type="dxa"/>
          </w:tblCellMar>
        </w:tblPrEx>
        <w:trPr>
          <w:trHeight w:val="555" w:hRule="atLeast"/>
          <w:tblCellSpacing w:w="0" w:type="dxa"/>
          <w:jc w:val="center"/>
        </w:trPr>
        <w:tc>
          <w:tcPr>
            <w:tcW w:w="3120" w:type="dxa"/>
            <w:tcBorders>
              <w:top w:val="nil"/>
              <w:left w:val="single" w:color="auto" w:sz="6" w:space="0"/>
              <w:bottom w:val="single" w:color="auto" w:sz="6" w:space="0"/>
              <w:right w:val="single" w:color="auto" w:sz="6" w:space="0"/>
            </w:tcBorders>
            <w:noWrap/>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微软雅黑" w:hAnsi="微软雅黑" w:eastAsia="微软雅黑" w:cs="宋体"/>
                <w:color w:val="000000"/>
                <w:kern w:val="0"/>
                <w:sz w:val="20"/>
              </w:rPr>
              <w:t>行政事业性收费</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3150" w:type="dxa"/>
            <w:gridSpan w:val="2"/>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r>
      <w:tr>
        <w:tblPrEx>
          <w:tblCellMar>
            <w:top w:w="0" w:type="dxa"/>
            <w:left w:w="0" w:type="dxa"/>
            <w:bottom w:w="0" w:type="dxa"/>
            <w:right w:w="0" w:type="dxa"/>
          </w:tblCellMar>
        </w:tblPrEx>
        <w:trPr>
          <w:trHeight w:val="480" w:hRule="atLeast"/>
          <w:tblCellSpacing w:w="0" w:type="dxa"/>
          <w:jc w:val="center"/>
        </w:trPr>
        <w:tc>
          <w:tcPr>
            <w:tcW w:w="8145" w:type="dxa"/>
            <w:gridSpan w:val="4"/>
            <w:tcBorders>
              <w:top w:val="nil"/>
              <w:left w:val="single" w:color="auto" w:sz="6" w:space="0"/>
              <w:bottom w:val="single" w:color="auto" w:sz="6" w:space="0"/>
              <w:right w:val="single" w:color="auto" w:sz="6" w:space="0"/>
            </w:tcBorders>
            <w:shd w:val="clear" w:color="auto" w:fill="C6D9F1"/>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第二十条第（九）项</w:t>
            </w:r>
          </w:p>
        </w:tc>
      </w:tr>
      <w:tr>
        <w:tblPrEx>
          <w:tblCellMar>
            <w:top w:w="0" w:type="dxa"/>
            <w:left w:w="0" w:type="dxa"/>
            <w:bottom w:w="0" w:type="dxa"/>
            <w:right w:w="0" w:type="dxa"/>
          </w:tblCellMar>
        </w:tblPrEx>
        <w:trPr>
          <w:trHeight w:val="585" w:hRule="atLeast"/>
          <w:tblCellSpacing w:w="0" w:type="dxa"/>
          <w:jc w:val="center"/>
        </w:trPr>
        <w:tc>
          <w:tcPr>
            <w:tcW w:w="3120" w:type="dxa"/>
            <w:tcBorders>
              <w:top w:val="nil"/>
              <w:left w:val="single" w:color="auto" w:sz="6" w:space="0"/>
              <w:bottom w:val="single" w:color="auto" w:sz="6" w:space="0"/>
              <w:right w:val="single" w:color="auto" w:sz="6" w:space="0"/>
            </w:tcBorders>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信息内容</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采购项目数量</w:t>
            </w:r>
          </w:p>
        </w:tc>
        <w:tc>
          <w:tcPr>
            <w:tcW w:w="3150" w:type="dxa"/>
            <w:gridSpan w:val="2"/>
            <w:tcBorders>
              <w:top w:val="single" w:color="auto" w:sz="6" w:space="0"/>
              <w:left w:val="nil"/>
              <w:bottom w:val="single" w:color="auto" w:sz="6" w:space="0"/>
              <w:right w:val="single" w:color="auto" w:sz="6" w:space="0"/>
            </w:tcBorders>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采购总金额</w:t>
            </w:r>
          </w:p>
        </w:tc>
      </w:tr>
      <w:tr>
        <w:tblPrEx>
          <w:tblCellMar>
            <w:top w:w="0" w:type="dxa"/>
            <w:left w:w="0" w:type="dxa"/>
            <w:bottom w:w="0" w:type="dxa"/>
            <w:right w:w="0" w:type="dxa"/>
          </w:tblCellMar>
        </w:tblPrEx>
        <w:trPr>
          <w:trHeight w:val="540" w:hRule="atLeast"/>
          <w:tblCellSpacing w:w="0" w:type="dxa"/>
          <w:jc w:val="center"/>
        </w:trPr>
        <w:tc>
          <w:tcPr>
            <w:tcW w:w="3120" w:type="dxa"/>
            <w:tcBorders>
              <w:top w:val="nil"/>
              <w:left w:val="single" w:color="auto" w:sz="6" w:space="0"/>
              <w:bottom w:val="single" w:color="auto" w:sz="6" w:space="0"/>
              <w:right w:val="single" w:color="auto" w:sz="6" w:space="0"/>
            </w:tcBorders>
            <w:noWrap/>
            <w:tcMar>
              <w:top w:w="0" w:type="dxa"/>
              <w:left w:w="105" w:type="dxa"/>
              <w:bottom w:w="0" w:type="dxa"/>
              <w:right w:w="105" w:type="dxa"/>
            </w:tcMar>
            <w:vAlign w:val="center"/>
          </w:tcPr>
          <w:p>
            <w:pPr>
              <w:widowControl/>
              <w:spacing w:after="180"/>
              <w:ind w:firstLine="600" w:firstLineChars="300"/>
              <w:jc w:val="left"/>
              <w:rPr>
                <w:rFonts w:ascii="微软雅黑" w:hAnsi="微软雅黑" w:eastAsia="微软雅黑" w:cs="宋体"/>
                <w:kern w:val="0"/>
                <w:sz w:val="24"/>
                <w:szCs w:val="24"/>
              </w:rPr>
            </w:pPr>
            <w:r>
              <w:rPr>
                <w:rFonts w:hint="eastAsia" w:ascii="微软雅黑" w:hAnsi="微软雅黑" w:eastAsia="微软雅黑" w:cs="宋体"/>
                <w:color w:val="000000"/>
                <w:kern w:val="0"/>
                <w:sz w:val="20"/>
              </w:rPr>
              <w:t>政府集中采购</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left"/>
              <w:rPr>
                <w:rFonts w:hint="default"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 xml:space="preserve">   0</w:t>
            </w:r>
          </w:p>
        </w:tc>
        <w:tc>
          <w:tcPr>
            <w:tcW w:w="3150" w:type="dxa"/>
            <w:gridSpan w:val="2"/>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ind w:firstLine="720" w:firstLineChars="300"/>
              <w:jc w:val="left"/>
              <w:rPr>
                <w:rFonts w:hint="default"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r>
    </w:tbl>
    <w:p>
      <w:pPr>
        <w:widowControl/>
        <w:shd w:val="clear" w:color="auto" w:fill="FFFFFF"/>
        <w:spacing w:before="240" w:line="450" w:lineRule="atLeast"/>
        <w:rPr>
          <w:rFonts w:hint="eastAsia" w:ascii="黑体" w:hAnsi="黑体" w:eastAsia="黑体" w:cs="黑体"/>
          <w:color w:val="333333"/>
          <w:kern w:val="0"/>
          <w:sz w:val="32"/>
          <w:szCs w:val="32"/>
        </w:rPr>
      </w:pPr>
      <w:r>
        <w:rPr>
          <w:rFonts w:hint="eastAsia" w:ascii="Arial" w:hAnsi="Arial" w:eastAsia="微软雅黑" w:cs="Arial"/>
          <w:b/>
          <w:bCs/>
          <w:color w:val="333333"/>
          <w:kern w:val="0"/>
          <w:sz w:val="24"/>
          <w:szCs w:val="24"/>
        </w:rPr>
        <w:t>　</w:t>
      </w:r>
      <w:r>
        <w:rPr>
          <w:rFonts w:hint="eastAsia" w:ascii="黑体" w:hAnsi="黑体" w:eastAsia="黑体" w:cs="黑体"/>
          <w:b/>
          <w:bCs/>
          <w:color w:val="333333"/>
          <w:kern w:val="0"/>
          <w:sz w:val="32"/>
          <w:szCs w:val="32"/>
        </w:rPr>
        <w:t>　三、收到和处理政府信息公开申请情况</w:t>
      </w:r>
    </w:p>
    <w:tbl>
      <w:tblPr>
        <w:tblStyle w:val="5"/>
        <w:tblW w:w="9075"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640"/>
        <w:gridCol w:w="854"/>
        <w:gridCol w:w="2077"/>
        <w:gridCol w:w="811"/>
        <w:gridCol w:w="753"/>
        <w:gridCol w:w="753"/>
        <w:gridCol w:w="811"/>
        <w:gridCol w:w="970"/>
        <w:gridCol w:w="710"/>
        <w:gridCol w:w="69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3571" w:type="dxa"/>
            <w:gridSpan w:val="3"/>
            <w:vMerge w:val="restart"/>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（本列数据的勾稽关系为：第一项加第二项之和，等于第三项加第四项之和）</w:t>
            </w:r>
          </w:p>
        </w:tc>
        <w:tc>
          <w:tcPr>
            <w:tcW w:w="5504" w:type="dxa"/>
            <w:gridSpan w:val="7"/>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申请人情况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gridSpan w:val="3"/>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微软雅黑" w:hAnsi="微软雅黑" w:eastAsia="微软雅黑" w:cs="宋体"/>
                <w:kern w:val="0"/>
                <w:sz w:val="24"/>
                <w:szCs w:val="24"/>
              </w:rPr>
            </w:pPr>
          </w:p>
        </w:tc>
        <w:tc>
          <w:tcPr>
            <w:tcW w:w="811"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自然人</w:t>
            </w:r>
          </w:p>
        </w:tc>
        <w:tc>
          <w:tcPr>
            <w:tcW w:w="3997" w:type="dxa"/>
            <w:gridSpan w:val="5"/>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法人或其他组织</w:t>
            </w:r>
          </w:p>
        </w:tc>
        <w:tc>
          <w:tcPr>
            <w:tcW w:w="696" w:type="dxa"/>
            <w:vMerge w:val="restart"/>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总计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gridSpan w:val="3"/>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7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商业企业</w:t>
            </w:r>
          </w:p>
        </w:tc>
        <w:tc>
          <w:tcPr>
            <w:tcW w:w="7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科研机构</w:t>
            </w:r>
          </w:p>
        </w:tc>
        <w:tc>
          <w:tcPr>
            <w:tcW w:w="811"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社会公益组织</w:t>
            </w:r>
          </w:p>
        </w:tc>
        <w:tc>
          <w:tcPr>
            <w:tcW w:w="97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法律服务机构</w:t>
            </w:r>
          </w:p>
        </w:tc>
        <w:tc>
          <w:tcPr>
            <w:tcW w:w="71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其他</w:t>
            </w:r>
          </w:p>
        </w:tc>
        <w:tc>
          <w:tcPr>
            <w:tcW w:w="0" w:type="auto"/>
            <w:vMerge w:val="continue"/>
            <w:tcBorders>
              <w:top w:val="single" w:color="auto" w:sz="6" w:space="0"/>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3571" w:type="dxa"/>
            <w:gridSpan w:val="3"/>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微软雅黑" w:hAnsi="微软雅黑" w:eastAsia="微软雅黑" w:cs="宋体"/>
                <w:kern w:val="0"/>
                <w:sz w:val="20"/>
              </w:rPr>
              <w:t>一、本年新收政府信息公开申请数量</w:t>
            </w:r>
          </w:p>
        </w:tc>
        <w:tc>
          <w:tcPr>
            <w:tcW w:w="81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81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97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1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69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3571" w:type="dxa"/>
            <w:gridSpan w:val="3"/>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微软雅黑" w:hAnsi="微软雅黑" w:eastAsia="微软雅黑" w:cs="宋体"/>
                <w:kern w:val="0"/>
                <w:sz w:val="20"/>
              </w:rPr>
              <w:t>二、上年结转政府信息公开申请数量</w:t>
            </w:r>
          </w:p>
        </w:tc>
        <w:tc>
          <w:tcPr>
            <w:tcW w:w="81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7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7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81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97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71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69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640" w:type="dxa"/>
            <w:vMerge w:val="restar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三、本年度办理结果</w:t>
            </w:r>
          </w:p>
        </w:tc>
        <w:tc>
          <w:tcPr>
            <w:tcW w:w="2931"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楷体" w:hAnsi="楷体" w:eastAsia="楷体" w:cs="宋体"/>
                <w:kern w:val="0"/>
                <w:sz w:val="20"/>
              </w:rPr>
              <w:t>（一）予以公开</w:t>
            </w:r>
          </w:p>
        </w:tc>
        <w:tc>
          <w:tcPr>
            <w:tcW w:w="81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7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7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81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97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71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696"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2931"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楷体" w:hAnsi="楷体" w:eastAsia="楷体" w:cs="宋体"/>
                <w:kern w:val="0"/>
                <w:sz w:val="20"/>
              </w:rPr>
              <w:t>（二）部分公开（区分处理的，只计这一情形，不计其他情形）</w:t>
            </w:r>
          </w:p>
        </w:tc>
        <w:tc>
          <w:tcPr>
            <w:tcW w:w="81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81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97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1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69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854"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楷体" w:hAnsi="楷体" w:eastAsia="楷体" w:cs="宋体"/>
                <w:kern w:val="0"/>
                <w:sz w:val="20"/>
              </w:rPr>
              <w:t>（三）不予公开</w:t>
            </w:r>
          </w:p>
        </w:tc>
        <w:tc>
          <w:tcPr>
            <w:tcW w:w="207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ascii="楷体" w:hAnsi="楷体" w:eastAsia="楷体" w:cs="宋体"/>
                <w:kern w:val="0"/>
                <w:sz w:val="20"/>
              </w:rPr>
              <w:t>1.</w:t>
            </w:r>
            <w:r>
              <w:rPr>
                <w:rFonts w:hint="eastAsia" w:ascii="楷体" w:hAnsi="楷体" w:eastAsia="楷体" w:cs="宋体"/>
                <w:kern w:val="0"/>
                <w:sz w:val="20"/>
              </w:rPr>
              <w:t>属于国家秘密</w:t>
            </w:r>
          </w:p>
        </w:tc>
        <w:tc>
          <w:tcPr>
            <w:tcW w:w="81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7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7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81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97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71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696"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207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ascii="楷体" w:hAnsi="楷体" w:eastAsia="楷体" w:cs="宋体"/>
                <w:kern w:val="0"/>
                <w:sz w:val="20"/>
              </w:rPr>
              <w:t>2.</w:t>
            </w:r>
            <w:r>
              <w:rPr>
                <w:rFonts w:hint="eastAsia" w:ascii="楷体" w:hAnsi="楷体" w:eastAsia="楷体" w:cs="宋体"/>
                <w:kern w:val="0"/>
                <w:sz w:val="20"/>
              </w:rPr>
              <w:t>其他法律行政法规禁止公开</w:t>
            </w:r>
          </w:p>
        </w:tc>
        <w:tc>
          <w:tcPr>
            <w:tcW w:w="81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7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7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81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97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71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69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207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ascii="楷体" w:hAnsi="楷体" w:eastAsia="楷体" w:cs="宋体"/>
                <w:kern w:val="0"/>
                <w:sz w:val="20"/>
              </w:rPr>
              <w:t>3.</w:t>
            </w:r>
            <w:r>
              <w:rPr>
                <w:rFonts w:hint="eastAsia" w:ascii="楷体" w:hAnsi="楷体" w:eastAsia="楷体" w:cs="宋体"/>
                <w:kern w:val="0"/>
                <w:sz w:val="20"/>
              </w:rPr>
              <w:t>危及“三安全一稳定”</w:t>
            </w:r>
          </w:p>
        </w:tc>
        <w:tc>
          <w:tcPr>
            <w:tcW w:w="81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7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7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81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97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71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69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207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ascii="楷体" w:hAnsi="楷体" w:eastAsia="楷体" w:cs="宋体"/>
                <w:kern w:val="0"/>
                <w:sz w:val="20"/>
              </w:rPr>
              <w:t>4.</w:t>
            </w:r>
            <w:r>
              <w:rPr>
                <w:rFonts w:hint="eastAsia" w:ascii="楷体" w:hAnsi="楷体" w:eastAsia="楷体" w:cs="宋体"/>
                <w:kern w:val="0"/>
                <w:sz w:val="20"/>
              </w:rPr>
              <w:t>保护第三方合法权益</w:t>
            </w:r>
          </w:p>
        </w:tc>
        <w:tc>
          <w:tcPr>
            <w:tcW w:w="81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7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7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81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97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71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69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207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ascii="楷体" w:hAnsi="楷体" w:eastAsia="楷体" w:cs="宋体"/>
                <w:kern w:val="0"/>
                <w:sz w:val="20"/>
              </w:rPr>
              <w:t>5.</w:t>
            </w:r>
            <w:r>
              <w:rPr>
                <w:rFonts w:hint="eastAsia" w:ascii="楷体" w:hAnsi="楷体" w:eastAsia="楷体" w:cs="宋体"/>
                <w:kern w:val="0"/>
                <w:sz w:val="20"/>
              </w:rPr>
              <w:t>属于三类内部事务信息</w:t>
            </w:r>
          </w:p>
        </w:tc>
        <w:tc>
          <w:tcPr>
            <w:tcW w:w="81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7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7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81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97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71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69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207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ascii="楷体" w:hAnsi="楷体" w:eastAsia="楷体" w:cs="宋体"/>
                <w:kern w:val="0"/>
                <w:sz w:val="20"/>
              </w:rPr>
              <w:t>6.</w:t>
            </w:r>
            <w:r>
              <w:rPr>
                <w:rFonts w:hint="eastAsia" w:ascii="楷体" w:hAnsi="楷体" w:eastAsia="楷体" w:cs="宋体"/>
                <w:kern w:val="0"/>
                <w:sz w:val="20"/>
              </w:rPr>
              <w:t>属于四类过程性信息</w:t>
            </w:r>
          </w:p>
        </w:tc>
        <w:tc>
          <w:tcPr>
            <w:tcW w:w="81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7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7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81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97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71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69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207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ascii="楷体" w:hAnsi="楷体" w:eastAsia="楷体" w:cs="宋体"/>
                <w:kern w:val="0"/>
                <w:sz w:val="20"/>
              </w:rPr>
              <w:t>7.</w:t>
            </w:r>
            <w:r>
              <w:rPr>
                <w:rFonts w:hint="eastAsia" w:ascii="楷体" w:hAnsi="楷体" w:eastAsia="楷体" w:cs="宋体"/>
                <w:kern w:val="0"/>
                <w:sz w:val="20"/>
              </w:rPr>
              <w:t>属于行政执法案卷</w:t>
            </w:r>
          </w:p>
        </w:tc>
        <w:tc>
          <w:tcPr>
            <w:tcW w:w="81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7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7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81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97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71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69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207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ascii="楷体" w:hAnsi="楷体" w:eastAsia="楷体" w:cs="宋体"/>
                <w:kern w:val="0"/>
                <w:sz w:val="20"/>
              </w:rPr>
              <w:t>8.</w:t>
            </w:r>
            <w:r>
              <w:rPr>
                <w:rFonts w:hint="eastAsia" w:ascii="楷体" w:hAnsi="楷体" w:eastAsia="楷体" w:cs="宋体"/>
                <w:kern w:val="0"/>
                <w:sz w:val="20"/>
              </w:rPr>
              <w:t>属于行政查询事项</w:t>
            </w:r>
          </w:p>
        </w:tc>
        <w:tc>
          <w:tcPr>
            <w:tcW w:w="81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7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7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81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97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71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69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854"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楷体" w:hAnsi="楷体" w:eastAsia="楷体" w:cs="宋体"/>
                <w:kern w:val="0"/>
                <w:sz w:val="20"/>
              </w:rPr>
              <w:t>（四）无法提供</w:t>
            </w:r>
          </w:p>
        </w:tc>
        <w:tc>
          <w:tcPr>
            <w:tcW w:w="207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ascii="楷体" w:hAnsi="楷体" w:eastAsia="楷体" w:cs="宋体"/>
                <w:kern w:val="0"/>
                <w:sz w:val="20"/>
              </w:rPr>
              <w:t>1.</w:t>
            </w:r>
            <w:r>
              <w:rPr>
                <w:rFonts w:hint="eastAsia" w:ascii="楷体" w:hAnsi="楷体" w:eastAsia="楷体" w:cs="宋体"/>
                <w:kern w:val="0"/>
                <w:sz w:val="20"/>
              </w:rPr>
              <w:t>本机关不掌握相关政府信息</w:t>
            </w:r>
          </w:p>
        </w:tc>
        <w:tc>
          <w:tcPr>
            <w:tcW w:w="81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7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7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81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97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71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69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207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ascii="楷体" w:hAnsi="楷体" w:eastAsia="楷体" w:cs="宋体"/>
                <w:kern w:val="0"/>
                <w:sz w:val="20"/>
              </w:rPr>
              <w:t>2.</w:t>
            </w:r>
            <w:r>
              <w:rPr>
                <w:rFonts w:hint="eastAsia" w:ascii="楷体" w:hAnsi="楷体" w:eastAsia="楷体" w:cs="宋体"/>
                <w:kern w:val="0"/>
                <w:sz w:val="20"/>
              </w:rPr>
              <w:t>没有现成信息需要另行制作</w:t>
            </w:r>
          </w:p>
        </w:tc>
        <w:tc>
          <w:tcPr>
            <w:tcW w:w="81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7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7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81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97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71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69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207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ascii="楷体" w:hAnsi="楷体" w:eastAsia="楷体" w:cs="宋体"/>
                <w:kern w:val="0"/>
                <w:sz w:val="20"/>
              </w:rPr>
              <w:t>3.</w:t>
            </w:r>
            <w:r>
              <w:rPr>
                <w:rFonts w:hint="eastAsia" w:ascii="楷体" w:hAnsi="楷体" w:eastAsia="楷体" w:cs="宋体"/>
                <w:kern w:val="0"/>
                <w:sz w:val="20"/>
              </w:rPr>
              <w:t>补正后申请内容仍不明确</w:t>
            </w:r>
          </w:p>
        </w:tc>
        <w:tc>
          <w:tcPr>
            <w:tcW w:w="81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7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7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81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97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71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69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854"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楷体" w:hAnsi="楷体" w:eastAsia="楷体" w:cs="宋体"/>
                <w:kern w:val="0"/>
                <w:sz w:val="20"/>
              </w:rPr>
              <w:t>（五）不予处理</w:t>
            </w:r>
          </w:p>
        </w:tc>
        <w:tc>
          <w:tcPr>
            <w:tcW w:w="207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ascii="楷体" w:hAnsi="楷体" w:eastAsia="楷体" w:cs="宋体"/>
                <w:kern w:val="0"/>
                <w:sz w:val="20"/>
              </w:rPr>
              <w:t>1.</w:t>
            </w:r>
            <w:r>
              <w:rPr>
                <w:rFonts w:hint="eastAsia" w:ascii="楷体" w:hAnsi="楷体" w:eastAsia="楷体" w:cs="宋体"/>
                <w:kern w:val="0"/>
                <w:sz w:val="20"/>
              </w:rPr>
              <w:t>信访举报投诉类申请</w:t>
            </w:r>
          </w:p>
        </w:tc>
        <w:tc>
          <w:tcPr>
            <w:tcW w:w="81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7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7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81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97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71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69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207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ascii="楷体" w:hAnsi="楷体" w:eastAsia="楷体" w:cs="宋体"/>
                <w:kern w:val="0"/>
                <w:sz w:val="20"/>
              </w:rPr>
              <w:t>2.</w:t>
            </w:r>
            <w:r>
              <w:rPr>
                <w:rFonts w:hint="eastAsia" w:ascii="楷体" w:hAnsi="楷体" w:eastAsia="楷体" w:cs="宋体"/>
                <w:kern w:val="0"/>
                <w:sz w:val="20"/>
              </w:rPr>
              <w:t>重复申请</w:t>
            </w:r>
          </w:p>
        </w:tc>
        <w:tc>
          <w:tcPr>
            <w:tcW w:w="81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7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7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81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97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71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69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207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ascii="楷体" w:hAnsi="楷体" w:eastAsia="楷体" w:cs="宋体"/>
                <w:kern w:val="0"/>
                <w:sz w:val="20"/>
              </w:rPr>
              <w:t>3.</w:t>
            </w:r>
            <w:r>
              <w:rPr>
                <w:rFonts w:hint="eastAsia" w:ascii="楷体" w:hAnsi="楷体" w:eastAsia="楷体" w:cs="宋体"/>
                <w:kern w:val="0"/>
                <w:sz w:val="20"/>
              </w:rPr>
              <w:t>要求提供公开出版物</w:t>
            </w:r>
          </w:p>
        </w:tc>
        <w:tc>
          <w:tcPr>
            <w:tcW w:w="81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7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7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81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97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71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69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207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ascii="楷体" w:hAnsi="楷体" w:eastAsia="楷体" w:cs="宋体"/>
                <w:kern w:val="0"/>
                <w:sz w:val="20"/>
              </w:rPr>
              <w:t>4.</w:t>
            </w:r>
            <w:r>
              <w:rPr>
                <w:rFonts w:hint="eastAsia" w:ascii="楷体" w:hAnsi="楷体" w:eastAsia="楷体" w:cs="宋体"/>
                <w:kern w:val="0"/>
                <w:sz w:val="20"/>
              </w:rPr>
              <w:t>无正当理由大量反复申请</w:t>
            </w:r>
          </w:p>
        </w:tc>
        <w:tc>
          <w:tcPr>
            <w:tcW w:w="81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7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7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81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97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71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69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207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ascii="楷体" w:hAnsi="楷体" w:eastAsia="楷体" w:cs="宋体"/>
                <w:kern w:val="0"/>
                <w:sz w:val="20"/>
              </w:rPr>
              <w:t>5.</w:t>
            </w:r>
            <w:r>
              <w:rPr>
                <w:rFonts w:hint="eastAsia" w:ascii="楷体" w:hAnsi="楷体" w:eastAsia="楷体" w:cs="宋体"/>
                <w:kern w:val="0"/>
                <w:sz w:val="20"/>
              </w:rPr>
              <w:t>要求行政机关确认或重新出具已获取信息</w:t>
            </w:r>
          </w:p>
        </w:tc>
        <w:tc>
          <w:tcPr>
            <w:tcW w:w="81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7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7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81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97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71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69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2931"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楷体" w:hAnsi="楷体" w:eastAsia="楷体" w:cs="宋体"/>
                <w:kern w:val="0"/>
                <w:sz w:val="20"/>
              </w:rPr>
              <w:t>（六）其他处理</w:t>
            </w:r>
          </w:p>
        </w:tc>
        <w:tc>
          <w:tcPr>
            <w:tcW w:w="81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7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7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81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97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71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69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2931"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楷体" w:hAnsi="楷体" w:eastAsia="楷体" w:cs="宋体"/>
                <w:kern w:val="0"/>
                <w:sz w:val="20"/>
              </w:rPr>
              <w:t>（七）总计</w:t>
            </w:r>
          </w:p>
        </w:tc>
        <w:tc>
          <w:tcPr>
            <w:tcW w:w="81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7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7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81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97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71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69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3571" w:type="dxa"/>
            <w:gridSpan w:val="3"/>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微软雅黑" w:hAnsi="微软雅黑" w:eastAsia="微软雅黑" w:cs="宋体"/>
                <w:kern w:val="0"/>
                <w:sz w:val="20"/>
              </w:rPr>
              <w:t>四、结转下年度继续办理</w:t>
            </w:r>
          </w:p>
        </w:tc>
        <w:tc>
          <w:tcPr>
            <w:tcW w:w="81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7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7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81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97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71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c>
          <w:tcPr>
            <w:tcW w:w="69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bidi="ar-SA"/>
              </w:rPr>
            </w:pPr>
            <w:r>
              <w:rPr>
                <w:rFonts w:hint="eastAsia" w:ascii="微软雅黑" w:hAnsi="微软雅黑" w:eastAsia="微软雅黑" w:cs="宋体"/>
                <w:kern w:val="0"/>
                <w:sz w:val="24"/>
                <w:szCs w:val="24"/>
                <w:lang w:val="en-US" w:eastAsia="zh-CN"/>
              </w:rPr>
              <w:t>0</w:t>
            </w:r>
          </w:p>
        </w:tc>
      </w:tr>
    </w:tbl>
    <w:p>
      <w:pPr>
        <w:widowControl/>
        <w:shd w:val="clear" w:color="auto" w:fill="FFFFFF"/>
        <w:spacing w:before="240" w:line="450" w:lineRule="atLeast"/>
        <w:rPr>
          <w:rFonts w:hint="eastAsia" w:ascii="黑体" w:hAnsi="黑体" w:eastAsia="黑体" w:cs="黑体"/>
          <w:color w:val="333333"/>
          <w:kern w:val="0"/>
          <w:sz w:val="32"/>
          <w:szCs w:val="32"/>
        </w:rPr>
      </w:pPr>
      <w:r>
        <w:rPr>
          <w:rFonts w:hint="eastAsia" w:ascii="黑体" w:hAnsi="黑体" w:eastAsia="黑体" w:cs="黑体"/>
          <w:b/>
          <w:bCs/>
          <w:color w:val="333333"/>
          <w:kern w:val="0"/>
          <w:sz w:val="32"/>
          <w:szCs w:val="32"/>
        </w:rPr>
        <w:t>　　四、政府信息公开行政复议、行政诉讼情况</w:t>
      </w:r>
    </w:p>
    <w:tbl>
      <w:tblPr>
        <w:tblStyle w:val="5"/>
        <w:tblW w:w="9075"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600"/>
        <w:gridCol w:w="600"/>
        <w:gridCol w:w="600"/>
        <w:gridCol w:w="600"/>
        <w:gridCol w:w="675"/>
        <w:gridCol w:w="555"/>
        <w:gridCol w:w="600"/>
        <w:gridCol w:w="600"/>
        <w:gridCol w:w="600"/>
        <w:gridCol w:w="615"/>
        <w:gridCol w:w="600"/>
        <w:gridCol w:w="600"/>
        <w:gridCol w:w="600"/>
        <w:gridCol w:w="600"/>
        <w:gridCol w:w="63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3075" w:type="dxa"/>
            <w:gridSpan w:val="5"/>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行政复议</w:t>
            </w:r>
          </w:p>
        </w:tc>
        <w:tc>
          <w:tcPr>
            <w:tcW w:w="6000" w:type="dxa"/>
            <w:gridSpan w:val="10"/>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行政诉讼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600" w:type="dxa"/>
            <w:vMerge w:val="restar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结果维持</w:t>
            </w:r>
          </w:p>
        </w:tc>
        <w:tc>
          <w:tcPr>
            <w:tcW w:w="600"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结果纠正</w:t>
            </w:r>
          </w:p>
        </w:tc>
        <w:tc>
          <w:tcPr>
            <w:tcW w:w="600" w:type="dxa"/>
            <w:vMerge w:val="restart"/>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其他结果</w:t>
            </w:r>
          </w:p>
        </w:tc>
        <w:tc>
          <w:tcPr>
            <w:tcW w:w="600" w:type="dxa"/>
            <w:vMerge w:val="restart"/>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尚未审结</w:t>
            </w:r>
          </w:p>
        </w:tc>
        <w:tc>
          <w:tcPr>
            <w:tcW w:w="660" w:type="dxa"/>
            <w:vMerge w:val="restart"/>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总计</w:t>
            </w:r>
          </w:p>
        </w:tc>
        <w:tc>
          <w:tcPr>
            <w:tcW w:w="2970" w:type="dxa"/>
            <w:gridSpan w:val="5"/>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未经复议直接起诉</w:t>
            </w:r>
          </w:p>
        </w:tc>
        <w:tc>
          <w:tcPr>
            <w:tcW w:w="3030" w:type="dxa"/>
            <w:gridSpan w:val="5"/>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复议后起诉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single" w:color="auto" w:sz="6" w:space="0"/>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single" w:color="auto" w:sz="6" w:space="0"/>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single" w:color="auto" w:sz="6" w:space="0"/>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55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结果维持</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结果纠正</w:t>
            </w:r>
          </w:p>
        </w:tc>
        <w:tc>
          <w:tcPr>
            <w:tcW w:w="60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其他结果</w:t>
            </w:r>
          </w:p>
        </w:tc>
        <w:tc>
          <w:tcPr>
            <w:tcW w:w="60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尚未审结</w:t>
            </w:r>
          </w:p>
        </w:tc>
        <w:tc>
          <w:tcPr>
            <w:tcW w:w="60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总计</w:t>
            </w:r>
          </w:p>
        </w:tc>
        <w:tc>
          <w:tcPr>
            <w:tcW w:w="60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结果维持</w:t>
            </w:r>
          </w:p>
        </w:tc>
        <w:tc>
          <w:tcPr>
            <w:tcW w:w="60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结果纠正</w:t>
            </w:r>
          </w:p>
        </w:tc>
        <w:tc>
          <w:tcPr>
            <w:tcW w:w="60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其他结果</w:t>
            </w:r>
          </w:p>
        </w:tc>
        <w:tc>
          <w:tcPr>
            <w:tcW w:w="60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尚未审结</w:t>
            </w:r>
          </w:p>
        </w:tc>
        <w:tc>
          <w:tcPr>
            <w:tcW w:w="60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总计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60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55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r>
    </w:tbl>
    <w:p>
      <w:pPr>
        <w:widowControl/>
        <w:numPr>
          <w:ilvl w:val="0"/>
          <w:numId w:val="1"/>
        </w:numPr>
        <w:shd w:val="clear" w:color="auto" w:fill="FFFFFF"/>
        <w:spacing w:line="500" w:lineRule="exact"/>
        <w:ind w:left="480" w:leftChars="0" w:firstLine="0" w:firstLineChars="0"/>
        <w:rPr>
          <w:rFonts w:hint="eastAsia" w:ascii="黑体" w:hAnsi="黑体" w:eastAsia="黑体" w:cs="黑体"/>
          <w:b/>
          <w:bCs/>
          <w:color w:val="333333"/>
          <w:kern w:val="0"/>
          <w:sz w:val="32"/>
          <w:szCs w:val="32"/>
        </w:rPr>
      </w:pPr>
      <w:r>
        <w:rPr>
          <w:rFonts w:hint="eastAsia" w:ascii="黑体" w:hAnsi="黑体" w:eastAsia="黑体" w:cs="黑体"/>
          <w:b/>
          <w:bCs/>
          <w:color w:val="333333"/>
          <w:kern w:val="0"/>
          <w:sz w:val="32"/>
          <w:szCs w:val="32"/>
        </w:rPr>
        <w:t>存在的主要问题及改进情况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320" w:firstLineChars="100"/>
        <w:jc w:val="both"/>
        <w:rPr>
          <w:rFonts w:hint="eastAsia" w:ascii="楷体" w:hAnsi="楷体" w:eastAsia="楷体" w:cs="楷体"/>
          <w:i w:val="0"/>
          <w:caps w:val="0"/>
          <w:color w:val="333333"/>
          <w:spacing w:val="0"/>
          <w:sz w:val="32"/>
          <w:szCs w:val="32"/>
        </w:rPr>
      </w:pPr>
      <w:r>
        <w:rPr>
          <w:rFonts w:hint="eastAsia" w:ascii="楷体" w:hAnsi="楷体" w:eastAsia="楷体" w:cs="楷体"/>
          <w:i w:val="0"/>
          <w:caps w:val="0"/>
          <w:color w:val="333333"/>
          <w:spacing w:val="0"/>
          <w:sz w:val="32"/>
          <w:szCs w:val="32"/>
          <w:shd w:val="clear" w:color="auto" w:fill="FFFFFF"/>
        </w:rPr>
        <w:t>（一）工作中存在的主要问题和困难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0F0F0F"/>
          <w:spacing w:val="0"/>
          <w:sz w:val="32"/>
          <w:szCs w:val="32"/>
          <w:shd w:val="clear" w:color="auto" w:fill="FFFFFF"/>
        </w:rPr>
        <w:t>　　</w:t>
      </w:r>
      <w:r>
        <w:rPr>
          <w:rFonts w:hint="eastAsia" w:ascii="仿宋_GB2312" w:hAnsi="仿宋_GB2312" w:eastAsia="仿宋_GB2312" w:cs="仿宋_GB2312"/>
          <w:i w:val="0"/>
          <w:caps w:val="0"/>
          <w:color w:val="0F0F0F"/>
          <w:spacing w:val="0"/>
          <w:sz w:val="32"/>
          <w:szCs w:val="32"/>
          <w:shd w:val="clear" w:color="auto" w:fill="FFFFFF"/>
          <w:lang w:eastAsia="zh-CN"/>
        </w:rPr>
        <w:t>一</w:t>
      </w:r>
      <w:r>
        <w:rPr>
          <w:rFonts w:hint="eastAsia" w:ascii="仿宋_GB2312" w:hAnsi="仿宋_GB2312" w:eastAsia="仿宋_GB2312" w:cs="仿宋_GB2312"/>
          <w:i w:val="0"/>
          <w:caps w:val="0"/>
          <w:color w:val="0F0F0F"/>
          <w:spacing w:val="0"/>
          <w:sz w:val="32"/>
          <w:szCs w:val="32"/>
          <w:shd w:val="clear" w:color="auto" w:fill="FFFFFF"/>
        </w:rPr>
        <w:t>是</w:t>
      </w:r>
      <w:r>
        <w:rPr>
          <w:rFonts w:hint="eastAsia" w:ascii="仿宋_GB2312" w:hAnsi="仿宋_GB2312" w:eastAsia="仿宋_GB2312" w:cs="仿宋_GB2312"/>
          <w:i w:val="0"/>
          <w:caps w:val="0"/>
          <w:color w:val="0F0F0F"/>
          <w:spacing w:val="0"/>
          <w:sz w:val="32"/>
          <w:szCs w:val="32"/>
          <w:shd w:val="clear" w:color="auto" w:fill="FFFFFF"/>
          <w:lang w:eastAsia="zh-CN"/>
        </w:rPr>
        <w:t>信息</w:t>
      </w:r>
      <w:r>
        <w:rPr>
          <w:rFonts w:hint="eastAsia" w:ascii="仿宋_GB2312" w:hAnsi="仿宋_GB2312" w:eastAsia="仿宋_GB2312" w:cs="仿宋_GB2312"/>
          <w:i w:val="0"/>
          <w:caps w:val="0"/>
          <w:color w:val="0F0F0F"/>
          <w:spacing w:val="0"/>
          <w:sz w:val="32"/>
          <w:szCs w:val="32"/>
          <w:shd w:val="clear" w:color="auto" w:fill="FFFFFF"/>
        </w:rPr>
        <w:t>主动公开的深度还有待进一步拓展。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0F0F0F"/>
          <w:spacing w:val="0"/>
          <w:sz w:val="32"/>
          <w:szCs w:val="32"/>
          <w:shd w:val="clear" w:color="auto" w:fill="FFFFFF"/>
        </w:rPr>
        <w:t>　　</w:t>
      </w:r>
      <w:r>
        <w:rPr>
          <w:rFonts w:hint="eastAsia" w:ascii="仿宋_GB2312" w:hAnsi="仿宋_GB2312" w:eastAsia="仿宋_GB2312" w:cs="仿宋_GB2312"/>
          <w:i w:val="0"/>
          <w:caps w:val="0"/>
          <w:color w:val="0F0F0F"/>
          <w:spacing w:val="0"/>
          <w:sz w:val="32"/>
          <w:szCs w:val="32"/>
          <w:shd w:val="clear" w:color="auto" w:fill="FFFFFF"/>
          <w:lang w:eastAsia="zh-CN"/>
        </w:rPr>
        <w:t>二</w:t>
      </w:r>
      <w:r>
        <w:rPr>
          <w:rFonts w:hint="eastAsia" w:ascii="仿宋_GB2312" w:hAnsi="仿宋_GB2312" w:eastAsia="仿宋_GB2312" w:cs="仿宋_GB2312"/>
          <w:i w:val="0"/>
          <w:caps w:val="0"/>
          <w:color w:val="0F0F0F"/>
          <w:spacing w:val="0"/>
          <w:sz w:val="32"/>
          <w:szCs w:val="32"/>
          <w:shd w:val="clear" w:color="auto" w:fill="FFFFFF"/>
        </w:rPr>
        <w:t>是信息公开渠道还有待进一步完善。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jc w:val="left"/>
        <w:rPr>
          <w:rFonts w:hint="eastAsia" w:ascii="楷体" w:hAnsi="楷体" w:eastAsia="楷体" w:cs="楷体"/>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auto" w:fill="FFFFFF"/>
        </w:rPr>
        <w:t>　 </w:t>
      </w:r>
      <w:r>
        <w:rPr>
          <w:rFonts w:hint="eastAsia" w:ascii="楷体" w:hAnsi="楷体" w:eastAsia="楷体" w:cs="楷体"/>
          <w:i w:val="0"/>
          <w:caps w:val="0"/>
          <w:color w:val="333333"/>
          <w:spacing w:val="0"/>
          <w:sz w:val="32"/>
          <w:szCs w:val="32"/>
          <w:shd w:val="clear" w:color="auto" w:fill="FFFFFF"/>
        </w:rPr>
        <w:t>（二）具体的解决办法和改进措施。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0F0F0F"/>
          <w:spacing w:val="0"/>
          <w:sz w:val="32"/>
          <w:szCs w:val="32"/>
          <w:shd w:val="clear" w:color="auto" w:fill="FFFFFF"/>
        </w:rPr>
        <w:t>　　一是进一步明确工作机构的职责和任务。明确专人负责政府信息公开的组织协调、维护更新等工作，确保信息公开工作扎实、有序推进。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48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0F0F0F"/>
          <w:spacing w:val="0"/>
          <w:sz w:val="32"/>
          <w:szCs w:val="32"/>
          <w:shd w:val="clear" w:color="auto" w:fill="FFFFFF"/>
        </w:rPr>
        <w:t>二是加大宣传力度，塑造良好的政府信息公开工作氛围。广泛开展系列政府信息公开工作宣传活动，倡导积极、全面、合法、透明的政府信息，为公众提供及时、准确、实用的信息。</w:t>
      </w:r>
    </w:p>
    <w:p>
      <w:pPr>
        <w:widowControl/>
        <w:numPr>
          <w:ilvl w:val="0"/>
          <w:numId w:val="0"/>
        </w:numPr>
        <w:shd w:val="clear" w:color="auto" w:fill="FFFFFF"/>
        <w:spacing w:line="500" w:lineRule="exact"/>
        <w:ind w:firstLine="643" w:firstLineChars="200"/>
        <w:rPr>
          <w:rFonts w:hint="eastAsia" w:ascii="黑体" w:hAnsi="黑体" w:eastAsia="黑体" w:cs="黑体"/>
          <w:color w:val="333333"/>
          <w:kern w:val="0"/>
          <w:sz w:val="32"/>
          <w:szCs w:val="32"/>
        </w:rPr>
      </w:pPr>
      <w:r>
        <w:rPr>
          <w:rFonts w:hint="eastAsia" w:ascii="黑体" w:hAnsi="黑体" w:eastAsia="黑体" w:cs="黑体"/>
          <w:b/>
          <w:bCs/>
          <w:color w:val="333333"/>
          <w:kern w:val="0"/>
          <w:sz w:val="32"/>
          <w:szCs w:val="32"/>
        </w:rPr>
        <w:t>六、其他需要报告的事项</w:t>
      </w:r>
    </w:p>
    <w:p>
      <w:pPr>
        <w:rPr>
          <w:rFonts w:hint="eastAsia" w:ascii="仿宋_GB2312" w:hAnsi="仿宋_GB2312" w:eastAsia="仿宋_GB2312" w:cs="仿宋_GB2312"/>
          <w:i w:val="0"/>
          <w:caps w:val="0"/>
          <w:color w:val="0F0F0F"/>
          <w:spacing w:val="0"/>
          <w:kern w:val="0"/>
          <w:sz w:val="32"/>
          <w:szCs w:val="32"/>
          <w:shd w:val="clear" w:color="auto" w:fill="FFFFFF"/>
          <w:lang w:val="en-US" w:eastAsia="zh-CN" w:bidi="ar"/>
        </w:rPr>
      </w:pPr>
      <w:r>
        <w:rPr>
          <w:rFonts w:hint="eastAsia" w:ascii="MS Gothic" w:hAnsi="MS Gothic" w:eastAsia="宋体" w:cs="MS Gothic"/>
          <w:kern w:val="0"/>
          <w:sz w:val="26"/>
          <w:szCs w:val="26"/>
          <w:lang w:val="en-US" w:eastAsia="zh-CN"/>
        </w:rPr>
        <w:t xml:space="preserve">  </w:t>
      </w:r>
      <w:r>
        <w:rPr>
          <w:rFonts w:hint="eastAsia" w:ascii="MS Gothic" w:hAnsi="MS Gothic" w:eastAsia="宋体" w:cs="MS Gothic"/>
          <w:kern w:val="0"/>
          <w:sz w:val="32"/>
          <w:szCs w:val="32"/>
          <w:lang w:val="en-US" w:eastAsia="zh-CN"/>
        </w:rPr>
        <w:t xml:space="preserve">  </w:t>
      </w:r>
      <w:r>
        <w:rPr>
          <w:rFonts w:hint="eastAsia" w:ascii="仿宋_GB2312" w:hAnsi="仿宋_GB2312" w:eastAsia="仿宋_GB2312" w:cs="仿宋_GB2312"/>
          <w:i w:val="0"/>
          <w:caps w:val="0"/>
          <w:color w:val="0F0F0F"/>
          <w:spacing w:val="0"/>
          <w:kern w:val="0"/>
          <w:sz w:val="32"/>
          <w:szCs w:val="32"/>
          <w:shd w:val="clear" w:color="auto" w:fill="FFFFFF"/>
          <w:lang w:val="en-US" w:eastAsia="zh-CN" w:bidi="ar"/>
        </w:rPr>
        <w:t>无</w:t>
      </w:r>
    </w:p>
    <w:p>
      <w:pPr>
        <w:spacing w:line="600" w:lineRule="exact"/>
        <w:rPr>
          <w:sz w:val="32"/>
          <w:szCs w:val="32"/>
        </w:rPr>
      </w:pPr>
    </w:p>
    <w:sectPr>
      <w:footerReference r:id="rId3" w:type="default"/>
      <w:footerReference r:id="rId4" w:type="even"/>
      <w:pgSz w:w="11906" w:h="16838"/>
      <w:pgMar w:top="1701" w:right="1588" w:bottom="1701" w:left="1588" w:header="851" w:footer="1588" w:gutter="0"/>
      <w:cols w:space="720" w:num="1"/>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right="259" w:rightChars="81"/>
      <w:rPr>
        <w:rStyle w:val="7"/>
        <w:sz w:val="28"/>
        <w:szCs w:val="28"/>
      </w:rPr>
    </w:pPr>
    <w:r>
      <w:rPr>
        <w:rStyle w:val="7"/>
        <w:sz w:val="28"/>
        <w:szCs w:val="28"/>
      </w:rPr>
      <w:t xml:space="preserve">— </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3</w:t>
    </w:r>
    <w:r>
      <w:rPr>
        <w:rStyle w:val="7"/>
        <w:sz w:val="28"/>
        <w:szCs w:val="28"/>
      </w:rPr>
      <w:fldChar w:fldCharType="end"/>
    </w:r>
    <w:r>
      <w:rPr>
        <w:rStyle w:val="7"/>
        <w:sz w:val="28"/>
        <w:szCs w:val="28"/>
      </w:rPr>
      <w:t xml:space="preserve"> —</w:t>
    </w:r>
  </w:p>
  <w:p>
    <w:pPr>
      <w:pStyle w:val="3"/>
      <w:ind w:right="360" w:firstLine="360"/>
      <w:rPr>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firstLine="302" w:firstLineChars="108"/>
      <w:rPr>
        <w:rStyle w:val="7"/>
        <w:sz w:val="28"/>
        <w:szCs w:val="28"/>
      </w:rPr>
    </w:pPr>
    <w:r>
      <w:rPr>
        <w:rStyle w:val="7"/>
        <w:sz w:val="28"/>
        <w:szCs w:val="28"/>
      </w:rPr>
      <w:t xml:space="preserve">— </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6</w:t>
    </w:r>
    <w:r>
      <w:rPr>
        <w:rStyle w:val="7"/>
        <w:sz w:val="28"/>
        <w:szCs w:val="28"/>
      </w:rPr>
      <w:fldChar w:fldCharType="end"/>
    </w:r>
    <w:r>
      <w:rPr>
        <w:rStyle w:val="7"/>
        <w:sz w:val="28"/>
        <w:szCs w:val="28"/>
      </w:rPr>
      <w:t xml:space="preserve"> —</w:t>
    </w:r>
  </w:p>
  <w:p>
    <w:pPr>
      <w:pStyle w:val="3"/>
      <w:ind w:right="360" w:firstLine="360"/>
      <w:rPr>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0A29C7"/>
    <w:multiLevelType w:val="singleLevel"/>
    <w:tmpl w:val="710A29C7"/>
    <w:lvl w:ilvl="0" w:tentative="0">
      <w:start w:val="5"/>
      <w:numFmt w:val="chineseCounting"/>
      <w:suff w:val="nothing"/>
      <w:lvlText w:val="%1、"/>
      <w:lvlJc w:val="left"/>
      <w:pPr>
        <w:ind w:left="48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525"/>
    <w:rsid w:val="000010F7"/>
    <w:rsid w:val="00013660"/>
    <w:rsid w:val="0004195F"/>
    <w:rsid w:val="0005445F"/>
    <w:rsid w:val="000B001F"/>
    <w:rsid w:val="000C3819"/>
    <w:rsid w:val="000E6C8F"/>
    <w:rsid w:val="00105204"/>
    <w:rsid w:val="00180BDC"/>
    <w:rsid w:val="001919E7"/>
    <w:rsid w:val="00191B1D"/>
    <w:rsid w:val="001A6E97"/>
    <w:rsid w:val="001C6A93"/>
    <w:rsid w:val="001D7F9B"/>
    <w:rsid w:val="00242D2E"/>
    <w:rsid w:val="00270667"/>
    <w:rsid w:val="00275A25"/>
    <w:rsid w:val="00276D28"/>
    <w:rsid w:val="002E2B2F"/>
    <w:rsid w:val="002F1F00"/>
    <w:rsid w:val="00305CB4"/>
    <w:rsid w:val="00343328"/>
    <w:rsid w:val="00377525"/>
    <w:rsid w:val="00397819"/>
    <w:rsid w:val="003A7AE9"/>
    <w:rsid w:val="003B636F"/>
    <w:rsid w:val="003D286E"/>
    <w:rsid w:val="003E4618"/>
    <w:rsid w:val="003F37F1"/>
    <w:rsid w:val="00423D79"/>
    <w:rsid w:val="00427AC1"/>
    <w:rsid w:val="00491343"/>
    <w:rsid w:val="00492420"/>
    <w:rsid w:val="004B7909"/>
    <w:rsid w:val="004C1A55"/>
    <w:rsid w:val="004D562D"/>
    <w:rsid w:val="004E2A6D"/>
    <w:rsid w:val="004F7340"/>
    <w:rsid w:val="005431AD"/>
    <w:rsid w:val="00587D05"/>
    <w:rsid w:val="005A69F7"/>
    <w:rsid w:val="005E06C3"/>
    <w:rsid w:val="005F1352"/>
    <w:rsid w:val="00604B5C"/>
    <w:rsid w:val="00607151"/>
    <w:rsid w:val="00615A2A"/>
    <w:rsid w:val="00615B4E"/>
    <w:rsid w:val="0063075C"/>
    <w:rsid w:val="00644334"/>
    <w:rsid w:val="006848C1"/>
    <w:rsid w:val="006A6AAC"/>
    <w:rsid w:val="006A7083"/>
    <w:rsid w:val="006A7A1F"/>
    <w:rsid w:val="006D66DA"/>
    <w:rsid w:val="00716A73"/>
    <w:rsid w:val="00722214"/>
    <w:rsid w:val="00723205"/>
    <w:rsid w:val="0072412D"/>
    <w:rsid w:val="00726A11"/>
    <w:rsid w:val="007409A9"/>
    <w:rsid w:val="00741B40"/>
    <w:rsid w:val="00762049"/>
    <w:rsid w:val="0076425B"/>
    <w:rsid w:val="00777B30"/>
    <w:rsid w:val="007823B2"/>
    <w:rsid w:val="007B3C9E"/>
    <w:rsid w:val="007D1BA7"/>
    <w:rsid w:val="007E0DA6"/>
    <w:rsid w:val="007E56A0"/>
    <w:rsid w:val="00831DF0"/>
    <w:rsid w:val="00864E0E"/>
    <w:rsid w:val="00877544"/>
    <w:rsid w:val="00883BF6"/>
    <w:rsid w:val="008B1AEA"/>
    <w:rsid w:val="008E43CC"/>
    <w:rsid w:val="008E783E"/>
    <w:rsid w:val="00900841"/>
    <w:rsid w:val="00906B9C"/>
    <w:rsid w:val="00916D92"/>
    <w:rsid w:val="00927118"/>
    <w:rsid w:val="00955589"/>
    <w:rsid w:val="00964777"/>
    <w:rsid w:val="00995E41"/>
    <w:rsid w:val="009A122D"/>
    <w:rsid w:val="009B445A"/>
    <w:rsid w:val="009B7054"/>
    <w:rsid w:val="009C52DC"/>
    <w:rsid w:val="009F046B"/>
    <w:rsid w:val="009F4067"/>
    <w:rsid w:val="00A11A4D"/>
    <w:rsid w:val="00A13863"/>
    <w:rsid w:val="00A37E1A"/>
    <w:rsid w:val="00A56797"/>
    <w:rsid w:val="00AB7B27"/>
    <w:rsid w:val="00AD70E2"/>
    <w:rsid w:val="00AF760C"/>
    <w:rsid w:val="00B24025"/>
    <w:rsid w:val="00B35EF3"/>
    <w:rsid w:val="00B4015A"/>
    <w:rsid w:val="00B442B2"/>
    <w:rsid w:val="00B60DAC"/>
    <w:rsid w:val="00B62F7B"/>
    <w:rsid w:val="00B75D43"/>
    <w:rsid w:val="00B8382C"/>
    <w:rsid w:val="00B877E8"/>
    <w:rsid w:val="00BA6172"/>
    <w:rsid w:val="00BB3316"/>
    <w:rsid w:val="00BB3926"/>
    <w:rsid w:val="00BF2161"/>
    <w:rsid w:val="00BF436C"/>
    <w:rsid w:val="00C1464C"/>
    <w:rsid w:val="00C23873"/>
    <w:rsid w:val="00C24101"/>
    <w:rsid w:val="00C31E8C"/>
    <w:rsid w:val="00C45F74"/>
    <w:rsid w:val="00C943B3"/>
    <w:rsid w:val="00CB0536"/>
    <w:rsid w:val="00CB7B5F"/>
    <w:rsid w:val="00CC11D4"/>
    <w:rsid w:val="00CC4D8A"/>
    <w:rsid w:val="00CE2108"/>
    <w:rsid w:val="00D04273"/>
    <w:rsid w:val="00D1784A"/>
    <w:rsid w:val="00D23109"/>
    <w:rsid w:val="00D36069"/>
    <w:rsid w:val="00D5293F"/>
    <w:rsid w:val="00D544F3"/>
    <w:rsid w:val="00D6531B"/>
    <w:rsid w:val="00D95404"/>
    <w:rsid w:val="00DA49F1"/>
    <w:rsid w:val="00DC46C0"/>
    <w:rsid w:val="00DC6B80"/>
    <w:rsid w:val="00E225AC"/>
    <w:rsid w:val="00E23C10"/>
    <w:rsid w:val="00E32151"/>
    <w:rsid w:val="00E336F0"/>
    <w:rsid w:val="00E359C0"/>
    <w:rsid w:val="00E3755D"/>
    <w:rsid w:val="00E574BE"/>
    <w:rsid w:val="00E91872"/>
    <w:rsid w:val="00EA1D3A"/>
    <w:rsid w:val="00EC40F0"/>
    <w:rsid w:val="00EC6FD8"/>
    <w:rsid w:val="00F13949"/>
    <w:rsid w:val="00F535EA"/>
    <w:rsid w:val="00F73A12"/>
    <w:rsid w:val="00F87A08"/>
    <w:rsid w:val="00FB6C14"/>
    <w:rsid w:val="00FD6994"/>
    <w:rsid w:val="00FE2683"/>
    <w:rsid w:val="018F343A"/>
    <w:rsid w:val="03051F63"/>
    <w:rsid w:val="07517193"/>
    <w:rsid w:val="07553D34"/>
    <w:rsid w:val="0AFF6AFD"/>
    <w:rsid w:val="2A4C1FD5"/>
    <w:rsid w:val="2DAD64F9"/>
    <w:rsid w:val="45620FD2"/>
    <w:rsid w:val="535E2D0C"/>
    <w:rsid w:val="54DF377D"/>
    <w:rsid w:val="586C185D"/>
    <w:rsid w:val="622C1C58"/>
    <w:rsid w:val="6C016D9F"/>
    <w:rsid w:val="6CAA6E70"/>
    <w:rsid w:val="77E63E0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qFormat/>
    <w:uiPriority w:val="99"/>
    <w:rPr>
      <w:sz w:val="18"/>
      <w:szCs w:val="18"/>
    </w:rPr>
  </w:style>
  <w:style w:type="paragraph" w:styleId="3">
    <w:name w:val="footer"/>
    <w:basedOn w:val="1"/>
    <w:link w:val="11"/>
    <w:qFormat/>
    <w:uiPriority w:val="99"/>
    <w:pPr>
      <w:tabs>
        <w:tab w:val="center" w:pos="4153"/>
        <w:tab w:val="right" w:pos="8306"/>
      </w:tabs>
      <w:snapToGrid w:val="0"/>
      <w:jc w:val="left"/>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page number"/>
    <w:qFormat/>
    <w:uiPriority w:val="99"/>
    <w:rPr>
      <w:rFonts w:cs="Times New Roman"/>
    </w:rPr>
  </w:style>
  <w:style w:type="character" w:styleId="8">
    <w:name w:val="Hyperlink"/>
    <w:qFormat/>
    <w:uiPriority w:val="99"/>
    <w:rPr>
      <w:rFonts w:cs="Times New Roman"/>
      <w:color w:val="0000FF"/>
      <w:u w:val="single"/>
    </w:rPr>
  </w:style>
  <w:style w:type="character" w:customStyle="1" w:styleId="9">
    <w:name w:val="font61"/>
    <w:qFormat/>
    <w:uiPriority w:val="99"/>
    <w:rPr>
      <w:rFonts w:ascii="Times New Roman" w:hAnsi="Times New Roman" w:cs="Times New Roman"/>
      <w:color w:val="000000"/>
      <w:sz w:val="20"/>
      <w:szCs w:val="20"/>
      <w:u w:val="none"/>
    </w:rPr>
  </w:style>
  <w:style w:type="character" w:customStyle="1" w:styleId="10">
    <w:name w:val="font81"/>
    <w:qFormat/>
    <w:uiPriority w:val="99"/>
    <w:rPr>
      <w:rFonts w:ascii="宋体" w:hAnsi="宋体" w:eastAsia="宋体" w:cs="宋体"/>
      <w:color w:val="000000"/>
      <w:sz w:val="20"/>
      <w:szCs w:val="20"/>
      <w:u w:val="none"/>
    </w:rPr>
  </w:style>
  <w:style w:type="character" w:customStyle="1" w:styleId="11">
    <w:name w:val="页脚 Char"/>
    <w:link w:val="3"/>
    <w:qFormat/>
    <w:locked/>
    <w:uiPriority w:val="99"/>
    <w:rPr>
      <w:rFonts w:ascii="Times New Roman" w:hAnsi="Times New Roman" w:eastAsia="仿宋_GB2312" w:cs="Times New Roman"/>
      <w:sz w:val="20"/>
      <w:szCs w:val="20"/>
    </w:rPr>
  </w:style>
  <w:style w:type="paragraph" w:styleId="12">
    <w:name w:val="List Paragraph"/>
    <w:basedOn w:val="1"/>
    <w:qFormat/>
    <w:uiPriority w:val="99"/>
    <w:pPr>
      <w:ind w:firstLine="420" w:firstLineChars="200"/>
    </w:pPr>
    <w:rPr>
      <w:rFonts w:ascii="Calibri" w:hAnsi="Calibri" w:eastAsia="宋体"/>
      <w:sz w:val="21"/>
      <w:szCs w:val="22"/>
    </w:rPr>
  </w:style>
  <w:style w:type="character" w:customStyle="1" w:styleId="13">
    <w:name w:val="批注框文本 Char"/>
    <w:link w:val="2"/>
    <w:semiHidden/>
    <w:qFormat/>
    <w:locked/>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844</Words>
  <Characters>4811</Characters>
  <Lines>40</Lines>
  <Paragraphs>11</Paragraphs>
  <TotalTime>4</TotalTime>
  <ScaleCrop>false</ScaleCrop>
  <LinksUpToDate>false</LinksUpToDate>
  <CharactersWithSpaces>5644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2020-12-10T06:59:00Z</dcterms:created>
  <dc:creator>xb21cn</dc:creator>
  <cp:lastModifiedBy>Administrator</cp:lastModifiedBy>
  <cp:lastPrinted>2020-12-25T07:52:00Z</cp:lastPrinted>
  <dcterms:modified xsi:type="dcterms:W3CDTF">2021-04-15T08:22:12Z</dcterms:modified>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EBDE13CC0CFE47279E28563849CF76EB</vt:lpwstr>
  </property>
</Properties>
</file>