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竹亭镇2020年度政府信息公开年度报告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bookmarkStart w:id="0" w:name="_GoBack"/>
      <w:bookmarkEnd w:id="0"/>
      <w:r>
        <w:rPr>
          <w:rFonts w:hint="eastAsia" w:ascii="宋体" w:hAnsi="宋体" w:eastAsia="宋体" w:cs="宋体"/>
          <w:i w:val="0"/>
          <w:iCs w:val="0"/>
          <w:caps w:val="0"/>
          <w:color w:val="333333"/>
          <w:spacing w:val="0"/>
          <w:sz w:val="31"/>
          <w:szCs w:val="31"/>
          <w:bdr w:val="none" w:color="auto" w:sz="0" w:space="0"/>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竹亭镇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袁州区​人民政府网站下载（http://www.yzq.gov.cn/）。如对本报告有任何疑问，请与竹亭镇人民政府联系（地址：竹亭镇人民政府党政办，电话：0795-3648348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5"/>
        <w:jc w:val="both"/>
      </w:pPr>
      <w:r>
        <w:rPr>
          <w:rStyle w:val="5"/>
          <w:rFonts w:hint="eastAsia" w:ascii="宋体" w:hAnsi="宋体" w:eastAsia="宋体" w:cs="宋体"/>
          <w:i w:val="0"/>
          <w:iCs w:val="0"/>
          <w:caps w:val="0"/>
          <w:color w:val="333333"/>
          <w:spacing w:val="0"/>
          <w:sz w:val="31"/>
          <w:szCs w:val="31"/>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15"/>
        <w:jc w:val="both"/>
      </w:pPr>
      <w:r>
        <w:rPr>
          <w:rFonts w:hint="eastAsia" w:ascii="宋体" w:hAnsi="宋体" w:eastAsia="宋体" w:cs="宋体"/>
          <w:i w:val="0"/>
          <w:iCs w:val="0"/>
          <w:caps w:val="0"/>
          <w:color w:val="333333"/>
          <w:spacing w:val="0"/>
          <w:sz w:val="31"/>
          <w:szCs w:val="31"/>
          <w:bdr w:val="none" w:color="auto" w:sz="0" w:space="0"/>
          <w:shd w:val="clear" w:fill="FFFFFF"/>
        </w:rPr>
        <w:t>2020年，在区委、区政府的正确领导下，街道加强人员队伍的建设和管理，完善制度，规范流程，提高政府信息公开质量。按照上级主管部门要求，扎实推进政府信息公开工作。紧紧围绕全面推进政府信息公开工作的决策部署，以人民群众的关注关切、社会发展的公平正义为切入点，以公开促落实，以公开促规范，以公开促服务，深入推进行政决策公开、执行公开、管理公开、服务公开、结果公开，全力推进法治政府、创新政府、廉洁政府和服务型政府建设。现将一年来的工作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Style w:val="5"/>
          <w:rFonts w:hint="eastAsia" w:ascii="宋体" w:hAnsi="宋体" w:eastAsia="宋体" w:cs="宋体"/>
          <w:i w:val="0"/>
          <w:iCs w:val="0"/>
          <w:caps w:val="0"/>
          <w:color w:val="333333"/>
          <w:spacing w:val="0"/>
          <w:sz w:val="31"/>
          <w:szCs w:val="31"/>
          <w:bdr w:val="none" w:color="auto" w:sz="0" w:space="0"/>
          <w:shd w:val="clear" w:fill="FFFFFF"/>
        </w:rPr>
        <w:t>（一）加强组织领导，规范公开程序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Fonts w:hint="eastAsia" w:ascii="宋体" w:hAnsi="宋体" w:eastAsia="宋体" w:cs="宋体"/>
          <w:i w:val="0"/>
          <w:iCs w:val="0"/>
          <w:caps w:val="0"/>
          <w:color w:val="333333"/>
          <w:spacing w:val="0"/>
          <w:sz w:val="31"/>
          <w:szCs w:val="31"/>
          <w:bdr w:val="none" w:color="auto" w:sz="0" w:space="0"/>
          <w:shd w:val="clear" w:fill="FFFFFF"/>
        </w:rPr>
        <w:t>为使政务公开工作不流于形式，不走过场，我镇着眼于建立政务公开长效机制，使政务公开成为一种自觉的意识和行为。一是由党政办分管领导任组长，党政办人员为成员的政务公开领导小组，下设办公室在党政办公室，由党政办主任兼任办公室主任，进一步强化了政务公开工作的领导和管理。二是加强政策理论学习和业务研究，准确把握政策精神，增强专业素养，强化公开理念，提高指导、推进政务公开工作的能力和水平，打牢我镇抓好政府信息公开管理工作的组织基础。三是由党政办公室负责政府信息公开工作的具体事宜，安排专人负责日常政务信息公开工作，由专人进行相关政务资料的收集、整理和上报工作，确保政府信息公开的及时性、准确性与全面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Style w:val="5"/>
          <w:rFonts w:hint="eastAsia" w:ascii="宋体" w:hAnsi="宋体" w:eastAsia="宋体" w:cs="宋体"/>
          <w:i w:val="0"/>
          <w:iCs w:val="0"/>
          <w:caps w:val="0"/>
          <w:color w:val="333333"/>
          <w:spacing w:val="0"/>
          <w:sz w:val="31"/>
          <w:szCs w:val="31"/>
          <w:bdr w:val="none" w:color="auto" w:sz="0" w:space="0"/>
          <w:shd w:val="clear" w:fill="FFFFFF"/>
        </w:rPr>
        <w:t>（二）规范审查程序，保证内容准确</w:t>
      </w:r>
      <w:r>
        <w:rPr>
          <w:rStyle w:val="5"/>
          <w:rFonts w:ascii="Calibri" w:hAnsi="Calibri" w:eastAsia="Calibri" w:cs="Calibri"/>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Fonts w:hint="eastAsia" w:ascii="宋体" w:hAnsi="宋体" w:eastAsia="宋体" w:cs="宋体"/>
          <w:i w:val="0"/>
          <w:iCs w:val="0"/>
          <w:caps w:val="0"/>
          <w:color w:val="333333"/>
          <w:spacing w:val="0"/>
          <w:sz w:val="31"/>
          <w:szCs w:val="31"/>
          <w:bdr w:val="none" w:color="auto" w:sz="0" w:space="0"/>
          <w:shd w:val="clear" w:fill="FFFFFF"/>
        </w:rPr>
        <w:t>结合自身实际，按照全省、市、区政府信息公开工作要求，进一步细化政府信息公开相关制度和工作措施，公开前认真做好本单位的保密审查工作，规范审查程序，对因未审查或审查不严导致不良影响或后果的，要严肃追究责任，同时对内容进行动态管理，确保信息公开及时规范，接受群众的监督。我镇对政务公开事项的办事依据、办事程序和办事结果，全部通过多种形式向广大群众公开发布，并结合实际，补充调整相关规定，进一步完善配套制度，规范政务公开工作，确保政务公开工作落到实处。落实保密审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Style w:val="5"/>
          <w:rFonts w:hint="eastAsia" w:ascii="宋体" w:hAnsi="宋体" w:eastAsia="宋体" w:cs="宋体"/>
          <w:i w:val="0"/>
          <w:iCs w:val="0"/>
          <w:caps w:val="0"/>
          <w:color w:val="333333"/>
          <w:spacing w:val="0"/>
          <w:sz w:val="31"/>
          <w:szCs w:val="31"/>
          <w:bdr w:val="none" w:color="auto" w:sz="0" w:space="0"/>
          <w:shd w:val="clear" w:fill="FFFFFF"/>
        </w:rPr>
        <w:t>（三）突出工作重点，拓宽公开渠道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Fonts w:hint="eastAsia" w:ascii="宋体" w:hAnsi="宋体" w:eastAsia="宋体" w:cs="宋体"/>
          <w:i w:val="0"/>
          <w:iCs w:val="0"/>
          <w:caps w:val="0"/>
          <w:color w:val="333333"/>
          <w:spacing w:val="0"/>
          <w:sz w:val="31"/>
          <w:szCs w:val="31"/>
          <w:bdr w:val="none" w:color="auto" w:sz="0" w:space="0"/>
          <w:shd w:val="clear" w:fill="FFFFFF"/>
        </w:rPr>
        <w:t>根据《条例》要求，加大政务信息公开力度，对照目标，强化落实，积极拓宽政府信息公开的渠道，不断提高政务信息的编制质量和公布效果。突出工作重点，对涉及广大人民群众最根本利益的，广大人民群众最关心、最关注的政务信息，做到第一时间及时、准确的公开、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Fonts w:hint="default" w:ascii="Calibri" w:hAnsi="Calibri" w:eastAsia="Calibri" w:cs="Calibri"/>
          <w:i w:val="0"/>
          <w:iCs w:val="0"/>
          <w:caps w:val="0"/>
          <w:color w:val="333333"/>
          <w:spacing w:val="0"/>
          <w:sz w:val="31"/>
          <w:szCs w:val="31"/>
          <w:bdr w:val="none" w:color="auto" w:sz="0" w:space="0"/>
          <w:shd w:val="clear" w:fill="FFFFFF"/>
        </w:rPr>
        <w:t>2020</w:t>
      </w:r>
      <w:r>
        <w:rPr>
          <w:rFonts w:hint="eastAsia" w:ascii="宋体" w:hAnsi="宋体" w:eastAsia="宋体" w:cs="宋体"/>
          <w:i w:val="0"/>
          <w:iCs w:val="0"/>
          <w:caps w:val="0"/>
          <w:color w:val="333333"/>
          <w:spacing w:val="0"/>
          <w:sz w:val="31"/>
          <w:szCs w:val="31"/>
          <w:bdr w:val="none" w:color="auto" w:sz="0" w:space="0"/>
          <w:shd w:val="clear" w:fill="FFFFFF"/>
        </w:rPr>
        <w:t>年通过袁州区政务网主动公开信息数</w:t>
      </w:r>
      <w:r>
        <w:rPr>
          <w:rFonts w:hint="default" w:ascii="Calibri" w:hAnsi="Calibri" w:eastAsia="Calibri" w:cs="Calibri"/>
          <w:i w:val="0"/>
          <w:iCs w:val="0"/>
          <w:caps w:val="0"/>
          <w:color w:val="333333"/>
          <w:spacing w:val="0"/>
          <w:sz w:val="31"/>
          <w:szCs w:val="31"/>
          <w:bdr w:val="none" w:color="auto" w:sz="0" w:space="0"/>
          <w:shd w:val="clear" w:fill="FFFFFF"/>
        </w:rPr>
        <w:t>55</w:t>
      </w:r>
      <w:r>
        <w:rPr>
          <w:rFonts w:hint="eastAsia" w:ascii="宋体" w:hAnsi="宋体" w:eastAsia="宋体" w:cs="宋体"/>
          <w:i w:val="0"/>
          <w:iCs w:val="0"/>
          <w:caps w:val="0"/>
          <w:color w:val="333333"/>
          <w:spacing w:val="0"/>
          <w:sz w:val="31"/>
          <w:szCs w:val="31"/>
          <w:bdr w:val="none" w:color="auto" w:sz="0" w:space="0"/>
          <w:shd w:val="clear" w:fill="FFFFFF"/>
        </w:rPr>
        <w:t>条，公示公告信息数</w:t>
      </w:r>
      <w:r>
        <w:rPr>
          <w:rFonts w:hint="default" w:ascii="Calibri" w:hAnsi="Calibri" w:eastAsia="Calibri" w:cs="Calibri"/>
          <w:i w:val="0"/>
          <w:iCs w:val="0"/>
          <w:caps w:val="0"/>
          <w:color w:val="333333"/>
          <w:spacing w:val="0"/>
          <w:sz w:val="31"/>
          <w:szCs w:val="31"/>
          <w:bdr w:val="none" w:color="auto" w:sz="0" w:space="0"/>
          <w:shd w:val="clear" w:fill="FFFFFF"/>
        </w:rPr>
        <w:t>5</w:t>
      </w:r>
      <w:r>
        <w:rPr>
          <w:rFonts w:hint="eastAsia" w:ascii="宋体" w:hAnsi="宋体" w:eastAsia="宋体" w:cs="宋体"/>
          <w:i w:val="0"/>
          <w:iCs w:val="0"/>
          <w:caps w:val="0"/>
          <w:color w:val="333333"/>
          <w:spacing w:val="0"/>
          <w:sz w:val="31"/>
          <w:szCs w:val="31"/>
          <w:bdr w:val="none" w:color="auto" w:sz="0" w:space="0"/>
          <w:shd w:val="clear" w:fill="FFFFFF"/>
        </w:rPr>
        <w:t>条，机构职能信息数</w:t>
      </w:r>
      <w:r>
        <w:rPr>
          <w:rFonts w:hint="default" w:ascii="Calibri" w:hAnsi="Calibri" w:eastAsia="Calibri" w:cs="Calibri"/>
          <w:i w:val="0"/>
          <w:iCs w:val="0"/>
          <w:caps w:val="0"/>
          <w:color w:val="333333"/>
          <w:spacing w:val="0"/>
          <w:sz w:val="31"/>
          <w:szCs w:val="31"/>
          <w:bdr w:val="none" w:color="auto" w:sz="0" w:space="0"/>
          <w:shd w:val="clear" w:fill="FFFFFF"/>
        </w:rPr>
        <w:t>1</w:t>
      </w:r>
      <w:r>
        <w:rPr>
          <w:rFonts w:hint="eastAsia" w:ascii="宋体" w:hAnsi="宋体" w:eastAsia="宋体" w:cs="宋体"/>
          <w:i w:val="0"/>
          <w:iCs w:val="0"/>
          <w:caps w:val="0"/>
          <w:color w:val="333333"/>
          <w:spacing w:val="0"/>
          <w:sz w:val="31"/>
          <w:szCs w:val="31"/>
          <w:bdr w:val="none" w:color="auto" w:sz="0" w:space="0"/>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645"/>
        <w:jc w:val="both"/>
      </w:pPr>
      <w:r>
        <w:rPr>
          <w:rStyle w:val="5"/>
          <w:rFonts w:hint="eastAsia" w:ascii="宋体" w:hAnsi="宋体" w:eastAsia="宋体" w:cs="宋体"/>
          <w:i w:val="0"/>
          <w:iCs w:val="0"/>
          <w:caps w:val="0"/>
          <w:color w:val="333333"/>
          <w:spacing w:val="0"/>
          <w:sz w:val="31"/>
          <w:szCs w:val="31"/>
          <w:bdr w:val="none" w:color="auto" w:sz="0" w:space="0"/>
          <w:shd w:val="clear" w:fill="FFFFFF"/>
        </w:rPr>
        <w:t>二、主动公开政府信息情况</w:t>
      </w:r>
    </w:p>
    <w:tbl>
      <w:tblPr>
        <w:tblW w:w="10005" w:type="dxa"/>
        <w:jc w:val="center"/>
        <w:tblCellSpacing w:w="0" w:type="dxa"/>
        <w:shd w:val="clear"/>
        <w:tblLayout w:type="autofit"/>
        <w:tblCellMar>
          <w:top w:w="0" w:type="dxa"/>
          <w:left w:w="0" w:type="dxa"/>
          <w:bottom w:w="0" w:type="dxa"/>
          <w:right w:w="0" w:type="dxa"/>
        </w:tblCellMar>
      </w:tblPr>
      <w:tblGrid>
        <w:gridCol w:w="3660"/>
        <w:gridCol w:w="2190"/>
        <w:gridCol w:w="1995"/>
        <w:gridCol w:w="2160"/>
      </w:tblGrid>
      <w:tr>
        <w:tblPrEx>
          <w:shd w:val="clear"/>
          <w:tblCellMar>
            <w:top w:w="0" w:type="dxa"/>
            <w:left w:w="0" w:type="dxa"/>
            <w:bottom w:w="0" w:type="dxa"/>
            <w:right w:w="0" w:type="dxa"/>
          </w:tblCellMar>
        </w:tblPrEx>
        <w:trPr>
          <w:trHeight w:val="90" w:hRule="atLeast"/>
          <w:tblCellSpacing w:w="0" w:type="dxa"/>
          <w:jc w:val="center"/>
        </w:trPr>
        <w:tc>
          <w:tcPr>
            <w:tcW w:w="10005"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Times New Roman" w:hAnsi="Times New Roman" w:cs="Times New Roman"/>
                <w:sz w:val="22"/>
                <w:szCs w:val="22"/>
                <w:bdr w:val="none" w:color="auto" w:sz="0" w:space="0"/>
              </w:rPr>
              <w:t>第二十条第（一）项</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信息内容</w:t>
            </w:r>
          </w:p>
        </w:tc>
        <w:tc>
          <w:tcPr>
            <w:tcW w:w="219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本年新制作数量</w:t>
            </w:r>
          </w:p>
        </w:tc>
        <w:tc>
          <w:tcPr>
            <w:tcW w:w="199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本年新公开数量</w:t>
            </w:r>
          </w:p>
        </w:tc>
        <w:tc>
          <w:tcPr>
            <w:tcW w:w="216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对外公开总数量</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规章</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199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21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规范性文件</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199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21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r>
      <w:tr>
        <w:tblPrEx>
          <w:tblCellMar>
            <w:top w:w="0" w:type="dxa"/>
            <w:left w:w="0" w:type="dxa"/>
            <w:bottom w:w="0" w:type="dxa"/>
            <w:right w:w="0" w:type="dxa"/>
          </w:tblCellMar>
        </w:tblPrEx>
        <w:trPr>
          <w:trHeight w:val="90" w:hRule="atLeast"/>
          <w:tblCellSpacing w:w="0" w:type="dxa"/>
          <w:jc w:val="center"/>
        </w:trPr>
        <w:tc>
          <w:tcPr>
            <w:tcW w:w="10005" w:type="dxa"/>
            <w:gridSpan w:val="4"/>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第二十条第（五）项</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信息内容</w:t>
            </w:r>
          </w:p>
        </w:tc>
        <w:tc>
          <w:tcPr>
            <w:tcW w:w="219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上一年项目数量</w:t>
            </w:r>
          </w:p>
        </w:tc>
        <w:tc>
          <w:tcPr>
            <w:tcW w:w="199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本年增/</w:t>
            </w:r>
            <w:r>
              <w:rPr>
                <w:rFonts w:hint="eastAsia" w:ascii="宋体" w:hAnsi="宋体" w:eastAsia="宋体" w:cs="宋体"/>
                <w:sz w:val="22"/>
                <w:szCs w:val="22"/>
                <w:bdr w:val="none" w:color="auto" w:sz="0" w:space="0"/>
              </w:rPr>
              <w:t>减</w:t>
            </w:r>
          </w:p>
        </w:tc>
        <w:tc>
          <w:tcPr>
            <w:tcW w:w="216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处理决定数量</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行政许可</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199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21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其他对外管理服务事项</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199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21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r>
      <w:tr>
        <w:tblPrEx>
          <w:tblCellMar>
            <w:top w:w="0" w:type="dxa"/>
            <w:left w:w="0" w:type="dxa"/>
            <w:bottom w:w="0" w:type="dxa"/>
            <w:right w:w="0" w:type="dxa"/>
          </w:tblCellMar>
        </w:tblPrEx>
        <w:trPr>
          <w:trHeight w:val="90" w:hRule="atLeast"/>
          <w:tblCellSpacing w:w="0" w:type="dxa"/>
          <w:jc w:val="center"/>
        </w:trPr>
        <w:tc>
          <w:tcPr>
            <w:tcW w:w="10005" w:type="dxa"/>
            <w:gridSpan w:val="4"/>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第二十条第（六）项</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信息内容</w:t>
            </w:r>
          </w:p>
        </w:tc>
        <w:tc>
          <w:tcPr>
            <w:tcW w:w="219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上一年项目数量</w:t>
            </w:r>
          </w:p>
        </w:tc>
        <w:tc>
          <w:tcPr>
            <w:tcW w:w="199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本年增/</w:t>
            </w:r>
            <w:r>
              <w:rPr>
                <w:rFonts w:hint="eastAsia" w:ascii="宋体" w:hAnsi="宋体" w:eastAsia="宋体" w:cs="宋体"/>
                <w:sz w:val="22"/>
                <w:szCs w:val="22"/>
                <w:bdr w:val="none" w:color="auto" w:sz="0" w:space="0"/>
              </w:rPr>
              <w:t>减</w:t>
            </w:r>
          </w:p>
        </w:tc>
        <w:tc>
          <w:tcPr>
            <w:tcW w:w="216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处理决定数量</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行政处罚</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199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21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行政强制</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199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21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r>
      <w:tr>
        <w:tblPrEx>
          <w:tblCellMar>
            <w:top w:w="0" w:type="dxa"/>
            <w:left w:w="0" w:type="dxa"/>
            <w:bottom w:w="0" w:type="dxa"/>
            <w:right w:w="0" w:type="dxa"/>
          </w:tblCellMar>
        </w:tblPrEx>
        <w:trPr>
          <w:trHeight w:val="90" w:hRule="atLeast"/>
          <w:tblCellSpacing w:w="0" w:type="dxa"/>
          <w:jc w:val="center"/>
        </w:trPr>
        <w:tc>
          <w:tcPr>
            <w:tcW w:w="10005" w:type="dxa"/>
            <w:gridSpan w:val="4"/>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第二十条第（八）项</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信息内容</w:t>
            </w:r>
          </w:p>
        </w:tc>
        <w:tc>
          <w:tcPr>
            <w:tcW w:w="219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上一年项目数量</w:t>
            </w:r>
          </w:p>
        </w:tc>
        <w:tc>
          <w:tcPr>
            <w:tcW w:w="4155"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本年增/</w:t>
            </w:r>
            <w:r>
              <w:rPr>
                <w:rFonts w:hint="eastAsia" w:ascii="宋体" w:hAnsi="宋体" w:eastAsia="宋体" w:cs="宋体"/>
                <w:sz w:val="22"/>
                <w:szCs w:val="22"/>
                <w:bdr w:val="none" w:color="auto" w:sz="0" w:space="0"/>
              </w:rPr>
              <w:t>减</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行政事业性收费</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c>
          <w:tcPr>
            <w:tcW w:w="415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0</w:t>
            </w:r>
          </w:p>
        </w:tc>
      </w:tr>
      <w:tr>
        <w:tblPrEx>
          <w:tblCellMar>
            <w:top w:w="0" w:type="dxa"/>
            <w:left w:w="0" w:type="dxa"/>
            <w:bottom w:w="0" w:type="dxa"/>
            <w:right w:w="0" w:type="dxa"/>
          </w:tblCellMar>
        </w:tblPrEx>
        <w:trPr>
          <w:trHeight w:val="90" w:hRule="atLeast"/>
          <w:tblCellSpacing w:w="0" w:type="dxa"/>
          <w:jc w:val="center"/>
        </w:trPr>
        <w:tc>
          <w:tcPr>
            <w:tcW w:w="10005" w:type="dxa"/>
            <w:gridSpan w:val="4"/>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第二十条第（九）项</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信息内容</w:t>
            </w:r>
          </w:p>
        </w:tc>
        <w:tc>
          <w:tcPr>
            <w:tcW w:w="219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采购项目数量</w:t>
            </w:r>
          </w:p>
        </w:tc>
        <w:tc>
          <w:tcPr>
            <w:tcW w:w="4155" w:type="dxa"/>
            <w:gridSpan w:val="2"/>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采购总金额</w:t>
            </w:r>
          </w:p>
        </w:tc>
      </w:tr>
      <w:tr>
        <w:tblPrEx>
          <w:tblCellMar>
            <w:top w:w="0" w:type="dxa"/>
            <w:left w:w="0" w:type="dxa"/>
            <w:bottom w:w="0" w:type="dxa"/>
            <w:right w:w="0" w:type="dxa"/>
          </w:tblCellMar>
        </w:tblPrEx>
        <w:trPr>
          <w:trHeight w:val="90" w:hRule="atLeast"/>
          <w:tblCellSpacing w:w="0" w:type="dxa"/>
          <w:jc w:val="center"/>
        </w:trPr>
        <w:tc>
          <w:tcPr>
            <w:tcW w:w="366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22"/>
                <w:szCs w:val="22"/>
                <w:bdr w:val="none" w:color="auto" w:sz="0" w:space="0"/>
              </w:rPr>
              <w:t>政府集中采购</w:t>
            </w:r>
          </w:p>
        </w:tc>
        <w:tc>
          <w:tcPr>
            <w:tcW w:w="21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9</w:t>
            </w:r>
          </w:p>
        </w:tc>
        <w:tc>
          <w:tcPr>
            <w:tcW w:w="4155"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22"/>
                <w:szCs w:val="22"/>
                <w:bdr w:val="none" w:color="auto" w:sz="0" w:space="0"/>
              </w:rPr>
              <w:t>1400000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Fonts w:hint="default" w:ascii="Calibri" w:hAnsi="Calibri" w:eastAsia="Calibri" w:cs="Calibri"/>
          <w:i w:val="0"/>
          <w:iCs w:val="0"/>
          <w:caps w:val="0"/>
          <w:color w:val="333333"/>
          <w:spacing w:val="0"/>
          <w:sz w:val="31"/>
          <w:szCs w:val="31"/>
          <w:bdr w:val="none" w:color="auto" w:sz="0" w:space="0"/>
          <w:shd w:val="clear" w:fill="FFFFFF"/>
        </w:rPr>
        <w:t>  </w:t>
      </w:r>
      <w:r>
        <w:rPr>
          <w:rStyle w:val="5"/>
          <w:rFonts w:hint="eastAsia" w:ascii="宋体" w:hAnsi="宋体" w:eastAsia="宋体" w:cs="宋体"/>
          <w:i w:val="0"/>
          <w:iCs w:val="0"/>
          <w:caps w:val="0"/>
          <w:color w:val="333333"/>
          <w:spacing w:val="0"/>
          <w:sz w:val="31"/>
          <w:szCs w:val="31"/>
          <w:bdr w:val="none" w:color="auto" w:sz="0" w:space="0"/>
          <w:shd w:val="clear" w:fill="FFFFFF"/>
        </w:rPr>
        <w:t>三、收到和处理政府信息公开申请情况</w:t>
      </w:r>
    </w:p>
    <w:tbl>
      <w:tblPr>
        <w:tblW w:w="9819" w:type="dxa"/>
        <w:jc w:val="center"/>
        <w:tblCellSpacing w:w="0" w:type="dxa"/>
        <w:shd w:val="clear"/>
        <w:tblLayout w:type="autofit"/>
        <w:tblCellMar>
          <w:top w:w="0" w:type="dxa"/>
          <w:left w:w="0" w:type="dxa"/>
          <w:bottom w:w="0" w:type="dxa"/>
          <w:right w:w="0" w:type="dxa"/>
        </w:tblCellMar>
      </w:tblPr>
      <w:tblGrid>
        <w:gridCol w:w="768"/>
        <w:gridCol w:w="957"/>
        <w:gridCol w:w="2204"/>
        <w:gridCol w:w="868"/>
        <w:gridCol w:w="805"/>
        <w:gridCol w:w="805"/>
        <w:gridCol w:w="868"/>
        <w:gridCol w:w="1026"/>
        <w:gridCol w:w="759"/>
        <w:gridCol w:w="759"/>
      </w:tblGrid>
      <w:tr>
        <w:tblPrEx>
          <w:shd w:val="clear"/>
          <w:tblCellMar>
            <w:top w:w="0" w:type="dxa"/>
            <w:left w:w="0" w:type="dxa"/>
            <w:bottom w:w="0" w:type="dxa"/>
            <w:right w:w="0" w:type="dxa"/>
          </w:tblCellMar>
        </w:tblPrEx>
        <w:trPr>
          <w:trHeight w:val="808" w:hRule="atLeast"/>
          <w:tblCellSpacing w:w="0" w:type="dxa"/>
          <w:jc w:val="center"/>
        </w:trPr>
        <w:tc>
          <w:tcPr>
            <w:tcW w:w="3929"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（本列数据的勾稽关系为：第一项加第二项之和，等于第三项加第四项之和）</w:t>
            </w:r>
          </w:p>
        </w:tc>
        <w:tc>
          <w:tcPr>
            <w:tcW w:w="5890" w:type="dxa"/>
            <w:gridSpan w:val="7"/>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申请人情况</w:t>
            </w:r>
          </w:p>
        </w:tc>
      </w:tr>
      <w:tr>
        <w:tblPrEx>
          <w:tblCellMar>
            <w:top w:w="0" w:type="dxa"/>
            <w:left w:w="0" w:type="dxa"/>
            <w:bottom w:w="0" w:type="dxa"/>
            <w:right w:w="0" w:type="dxa"/>
          </w:tblCellMar>
        </w:tblPrEx>
        <w:trPr>
          <w:trHeight w:val="808" w:hRule="atLeast"/>
          <w:tblCellSpacing w:w="0" w:type="dxa"/>
          <w:jc w:val="center"/>
        </w:trPr>
        <w:tc>
          <w:tcPr>
            <w:tcW w:w="3929"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68"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自然人</w:t>
            </w:r>
          </w:p>
        </w:tc>
        <w:tc>
          <w:tcPr>
            <w:tcW w:w="4263" w:type="dxa"/>
            <w:gridSpan w:val="5"/>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法人或其他组织</w:t>
            </w:r>
          </w:p>
        </w:tc>
        <w:tc>
          <w:tcPr>
            <w:tcW w:w="7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总计</w:t>
            </w:r>
          </w:p>
        </w:tc>
      </w:tr>
      <w:tr>
        <w:tblPrEx>
          <w:tblCellMar>
            <w:top w:w="0" w:type="dxa"/>
            <w:left w:w="0" w:type="dxa"/>
            <w:bottom w:w="0" w:type="dxa"/>
            <w:right w:w="0" w:type="dxa"/>
          </w:tblCellMar>
        </w:tblPrEx>
        <w:trPr>
          <w:trHeight w:val="1123" w:hRule="atLeast"/>
          <w:tblCellSpacing w:w="0" w:type="dxa"/>
          <w:jc w:val="center"/>
        </w:trPr>
        <w:tc>
          <w:tcPr>
            <w:tcW w:w="3929"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68"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商业企业</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科研机构</w:t>
            </w:r>
          </w:p>
        </w:tc>
        <w:tc>
          <w:tcPr>
            <w:tcW w:w="868"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社会公益组织</w:t>
            </w:r>
          </w:p>
        </w:tc>
        <w:tc>
          <w:tcPr>
            <w:tcW w:w="1026"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法律服务机构</w:t>
            </w:r>
          </w:p>
        </w:tc>
        <w:tc>
          <w:tcPr>
            <w:tcW w:w="7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其他</w:t>
            </w:r>
          </w:p>
        </w:tc>
        <w:tc>
          <w:tcPr>
            <w:tcW w:w="7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Calibri" w:hAnsi="Calibri" w:eastAsia="Calibri" w:cs="Calibri"/>
                <w:sz w:val="21"/>
                <w:szCs w:val="21"/>
                <w:bdr w:val="none" w:color="auto" w:sz="0" w:space="0"/>
              </w:rPr>
              <w:t> </w:t>
            </w:r>
          </w:p>
        </w:tc>
      </w:tr>
      <w:tr>
        <w:tblPrEx>
          <w:tblCellMar>
            <w:top w:w="0" w:type="dxa"/>
            <w:left w:w="0" w:type="dxa"/>
            <w:bottom w:w="0" w:type="dxa"/>
            <w:right w:w="0" w:type="dxa"/>
          </w:tblCellMar>
        </w:tblPrEx>
        <w:trPr>
          <w:trHeight w:val="794" w:hRule="atLeast"/>
          <w:tblCellSpacing w:w="0" w:type="dxa"/>
          <w:jc w:val="center"/>
        </w:trPr>
        <w:tc>
          <w:tcPr>
            <w:tcW w:w="3929" w:type="dxa"/>
            <w:gridSpan w:val="3"/>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一、本年新收政府信息公开申请数量</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1</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1 </w:t>
            </w:r>
          </w:p>
        </w:tc>
      </w:tr>
      <w:tr>
        <w:tblPrEx>
          <w:tblCellMar>
            <w:top w:w="0" w:type="dxa"/>
            <w:left w:w="0" w:type="dxa"/>
            <w:bottom w:w="0" w:type="dxa"/>
            <w:right w:w="0" w:type="dxa"/>
          </w:tblCellMar>
        </w:tblPrEx>
        <w:trPr>
          <w:trHeight w:val="794" w:hRule="atLeast"/>
          <w:tblCellSpacing w:w="0" w:type="dxa"/>
          <w:jc w:val="center"/>
        </w:trPr>
        <w:tc>
          <w:tcPr>
            <w:tcW w:w="3929" w:type="dxa"/>
            <w:gridSpan w:val="3"/>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二、上年结转政府信息公开申请数量</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808" w:hRule="atLeast"/>
          <w:tblCellSpacing w:w="0" w:type="dxa"/>
          <w:jc w:val="center"/>
        </w:trPr>
        <w:tc>
          <w:tcPr>
            <w:tcW w:w="768" w:type="dxa"/>
            <w:vMerge w:val="restart"/>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三、本年度办理结果</w:t>
            </w:r>
          </w:p>
        </w:tc>
        <w:tc>
          <w:tcPr>
            <w:tcW w:w="3161"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（一）予以公开</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1108"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3161"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（二）部分公开（区分处理的，只计这一情形，不计其他情形）</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808"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（三）不予公开</w:t>
            </w: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1.</w:t>
            </w:r>
            <w:r>
              <w:rPr>
                <w:rFonts w:hint="eastAsia" w:ascii="宋体" w:hAnsi="宋体" w:eastAsia="宋体" w:cs="宋体"/>
                <w:sz w:val="19"/>
                <w:szCs w:val="19"/>
                <w:bdr w:val="none" w:color="auto" w:sz="0" w:space="0"/>
              </w:rPr>
              <w:t>属于国家秘密</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1108"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2.</w:t>
            </w:r>
            <w:r>
              <w:rPr>
                <w:rFonts w:hint="eastAsia" w:ascii="宋体" w:hAnsi="宋体" w:eastAsia="宋体" w:cs="宋体"/>
                <w:sz w:val="19"/>
                <w:szCs w:val="19"/>
                <w:bdr w:val="none" w:color="auto" w:sz="0" w:space="0"/>
              </w:rPr>
              <w:t>其他法律行政法规禁止公开</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3.</w:t>
            </w:r>
            <w:r>
              <w:rPr>
                <w:rFonts w:hint="eastAsia" w:ascii="宋体" w:hAnsi="宋体" w:eastAsia="宋体" w:cs="宋体"/>
                <w:sz w:val="19"/>
                <w:szCs w:val="19"/>
                <w:bdr w:val="none" w:color="auto" w:sz="0" w:space="0"/>
              </w:rPr>
              <w:t>危及</w:t>
            </w:r>
            <w:r>
              <w:rPr>
                <w:rFonts w:hint="default" w:ascii="Times New Roman" w:hAnsi="Times New Roman" w:cs="Times New Roman"/>
                <w:sz w:val="19"/>
                <w:szCs w:val="19"/>
                <w:bdr w:val="none" w:color="auto" w:sz="0" w:space="0"/>
              </w:rPr>
              <w:t>“</w:t>
            </w:r>
            <w:r>
              <w:rPr>
                <w:rFonts w:hint="eastAsia" w:ascii="宋体" w:hAnsi="宋体" w:eastAsia="宋体" w:cs="宋体"/>
                <w:sz w:val="19"/>
                <w:szCs w:val="19"/>
                <w:bdr w:val="none" w:color="auto" w:sz="0" w:space="0"/>
              </w:rPr>
              <w:t>三安全一稳定</w:t>
            </w:r>
            <w:r>
              <w:rPr>
                <w:rFonts w:hint="default" w:ascii="Times New Roman" w:hAnsi="Times New Roman" w:cs="Times New Roman"/>
                <w:sz w:val="19"/>
                <w:szCs w:val="19"/>
                <w:bdr w:val="none" w:color="auto" w:sz="0" w:space="0"/>
              </w:rPr>
              <w:t>”</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4.</w:t>
            </w:r>
            <w:r>
              <w:rPr>
                <w:rFonts w:hint="eastAsia" w:ascii="宋体" w:hAnsi="宋体" w:eastAsia="宋体" w:cs="宋体"/>
                <w:sz w:val="19"/>
                <w:szCs w:val="19"/>
                <w:bdr w:val="none" w:color="auto" w:sz="0" w:space="0"/>
              </w:rPr>
              <w:t>保护第三方合法权益</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5.</w:t>
            </w:r>
            <w:r>
              <w:rPr>
                <w:rFonts w:hint="eastAsia" w:ascii="宋体" w:hAnsi="宋体" w:eastAsia="宋体" w:cs="宋体"/>
                <w:sz w:val="19"/>
                <w:szCs w:val="19"/>
                <w:bdr w:val="none" w:color="auto" w:sz="0" w:space="0"/>
              </w:rPr>
              <w:t>属于三类内部事务信息</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6.</w:t>
            </w:r>
            <w:r>
              <w:rPr>
                <w:rFonts w:hint="eastAsia" w:ascii="宋体" w:hAnsi="宋体" w:eastAsia="宋体" w:cs="宋体"/>
                <w:sz w:val="19"/>
                <w:szCs w:val="19"/>
                <w:bdr w:val="none" w:color="auto" w:sz="0" w:space="0"/>
              </w:rPr>
              <w:t>属于四类过程性信息</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7.</w:t>
            </w:r>
            <w:r>
              <w:rPr>
                <w:rFonts w:hint="eastAsia" w:ascii="宋体" w:hAnsi="宋体" w:eastAsia="宋体" w:cs="宋体"/>
                <w:sz w:val="19"/>
                <w:szCs w:val="19"/>
                <w:bdr w:val="none" w:color="auto" w:sz="0" w:space="0"/>
              </w:rPr>
              <w:t>属于行政执法案卷</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8.</w:t>
            </w:r>
            <w:r>
              <w:rPr>
                <w:rFonts w:hint="eastAsia" w:ascii="宋体" w:hAnsi="宋体" w:eastAsia="宋体" w:cs="宋体"/>
                <w:sz w:val="19"/>
                <w:szCs w:val="19"/>
                <w:bdr w:val="none" w:color="auto" w:sz="0" w:space="0"/>
              </w:rPr>
              <w:t>属于行政查询事项</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1108"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（四）无法提供</w:t>
            </w: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1.</w:t>
            </w:r>
            <w:r>
              <w:rPr>
                <w:rFonts w:hint="eastAsia" w:ascii="宋体" w:hAnsi="宋体" w:eastAsia="宋体" w:cs="宋体"/>
                <w:sz w:val="19"/>
                <w:szCs w:val="19"/>
                <w:bdr w:val="none" w:color="auto" w:sz="0" w:space="0"/>
              </w:rPr>
              <w:t>本机关不掌握相关政府信息</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1 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1 </w:t>
            </w:r>
          </w:p>
        </w:tc>
      </w:tr>
      <w:tr>
        <w:tblPrEx>
          <w:tblCellMar>
            <w:top w:w="0" w:type="dxa"/>
            <w:left w:w="0" w:type="dxa"/>
            <w:bottom w:w="0" w:type="dxa"/>
            <w:right w:w="0" w:type="dxa"/>
          </w:tblCellMar>
        </w:tblPrEx>
        <w:trPr>
          <w:trHeight w:val="1108"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2.</w:t>
            </w:r>
            <w:r>
              <w:rPr>
                <w:rFonts w:hint="eastAsia" w:ascii="宋体" w:hAnsi="宋体" w:eastAsia="宋体" w:cs="宋体"/>
                <w:sz w:val="19"/>
                <w:szCs w:val="19"/>
                <w:bdr w:val="none" w:color="auto" w:sz="0" w:space="0"/>
              </w:rPr>
              <w:t>没有现成信息需要另行制作</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3.</w:t>
            </w:r>
            <w:r>
              <w:rPr>
                <w:rFonts w:hint="eastAsia" w:ascii="宋体" w:hAnsi="宋体" w:eastAsia="宋体" w:cs="宋体"/>
                <w:sz w:val="19"/>
                <w:szCs w:val="19"/>
                <w:bdr w:val="none" w:color="auto" w:sz="0" w:space="0"/>
              </w:rPr>
              <w:t>补正后申请内容仍不明确</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（五）不予处理</w:t>
            </w: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1.</w:t>
            </w:r>
            <w:r>
              <w:rPr>
                <w:rFonts w:hint="eastAsia" w:ascii="宋体" w:hAnsi="宋体" w:eastAsia="宋体" w:cs="宋体"/>
                <w:sz w:val="19"/>
                <w:szCs w:val="19"/>
                <w:bdr w:val="none" w:color="auto" w:sz="0" w:space="0"/>
              </w:rPr>
              <w:t>信访举报投诉类申请</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2.</w:t>
            </w:r>
            <w:r>
              <w:rPr>
                <w:rFonts w:hint="eastAsia" w:ascii="宋体" w:hAnsi="宋体" w:eastAsia="宋体" w:cs="宋体"/>
                <w:sz w:val="19"/>
                <w:szCs w:val="19"/>
                <w:bdr w:val="none" w:color="auto" w:sz="0" w:space="0"/>
              </w:rPr>
              <w:t>重复申请</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3.</w:t>
            </w:r>
            <w:r>
              <w:rPr>
                <w:rFonts w:hint="eastAsia" w:ascii="宋体" w:hAnsi="宋体" w:eastAsia="宋体" w:cs="宋体"/>
                <w:sz w:val="19"/>
                <w:szCs w:val="19"/>
                <w:bdr w:val="none" w:color="auto" w:sz="0" w:space="0"/>
              </w:rPr>
              <w:t>要求提供公开出版物</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4.</w:t>
            </w:r>
            <w:r>
              <w:rPr>
                <w:rFonts w:hint="eastAsia" w:ascii="宋体" w:hAnsi="宋体" w:eastAsia="宋体" w:cs="宋体"/>
                <w:sz w:val="19"/>
                <w:szCs w:val="19"/>
                <w:bdr w:val="none" w:color="auto" w:sz="0" w:space="0"/>
              </w:rPr>
              <w:t>无正当理由大量反复申请</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r>
      <w:tr>
        <w:tblPrEx>
          <w:tblCellMar>
            <w:top w:w="0" w:type="dxa"/>
            <w:left w:w="0" w:type="dxa"/>
            <w:bottom w:w="0" w:type="dxa"/>
            <w:right w:w="0" w:type="dxa"/>
          </w:tblCellMar>
        </w:tblPrEx>
        <w:trPr>
          <w:trHeight w:val="1108"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95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04"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5.</w:t>
            </w:r>
            <w:r>
              <w:rPr>
                <w:rFonts w:hint="eastAsia" w:ascii="宋体" w:hAnsi="宋体" w:eastAsia="宋体" w:cs="宋体"/>
                <w:sz w:val="19"/>
                <w:szCs w:val="19"/>
                <w:bdr w:val="none" w:color="auto" w:sz="0" w:space="0"/>
              </w:rPr>
              <w:t>要求行政机关确认或重新出具已获取信息</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3161"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（六）其他处理</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r>
      <w:tr>
        <w:tblPrEx>
          <w:tblCellMar>
            <w:top w:w="0" w:type="dxa"/>
            <w:left w:w="0" w:type="dxa"/>
            <w:bottom w:w="0" w:type="dxa"/>
            <w:right w:w="0" w:type="dxa"/>
          </w:tblCellMar>
        </w:tblPrEx>
        <w:trPr>
          <w:trHeight w:val="794" w:hRule="atLeast"/>
          <w:tblCellSpacing w:w="0" w:type="dxa"/>
          <w:jc w:val="center"/>
        </w:trPr>
        <w:tc>
          <w:tcPr>
            <w:tcW w:w="768"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3161" w:type="dxa"/>
            <w:gridSpan w:val="2"/>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（七）总计</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1</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1</w:t>
            </w:r>
          </w:p>
        </w:tc>
      </w:tr>
      <w:tr>
        <w:tblPrEx>
          <w:tblCellMar>
            <w:top w:w="0" w:type="dxa"/>
            <w:left w:w="0" w:type="dxa"/>
            <w:bottom w:w="0" w:type="dxa"/>
            <w:right w:w="0" w:type="dxa"/>
          </w:tblCellMar>
        </w:tblPrEx>
        <w:trPr>
          <w:trHeight w:val="808" w:hRule="atLeast"/>
          <w:tblCellSpacing w:w="0" w:type="dxa"/>
          <w:jc w:val="center"/>
        </w:trPr>
        <w:tc>
          <w:tcPr>
            <w:tcW w:w="3929" w:type="dxa"/>
            <w:gridSpan w:val="3"/>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Times New Roman" w:hAnsi="Times New Roman" w:cs="Times New Roman"/>
                <w:sz w:val="19"/>
                <w:szCs w:val="19"/>
                <w:bdr w:val="none" w:color="auto" w:sz="0" w:space="0"/>
              </w:rPr>
              <w:t>四、结转下年度继续办理</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0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8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1026"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759"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Calibri" w:hAnsi="Calibri" w:eastAsia="Calibri" w:cs="Calibri"/>
                <w:sz w:val="21"/>
                <w:szCs w:val="21"/>
                <w:bdr w:val="none" w:color="auto" w:sz="0" w:space="0"/>
              </w:rPr>
              <w:t> 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Style w:val="5"/>
          <w:rFonts w:hint="default" w:ascii="Times New Roman" w:hAnsi="Times New Roman" w:eastAsia="微软雅黑" w:cs="Times New Roman"/>
          <w:i w:val="0"/>
          <w:iCs w:val="0"/>
          <w:caps w:val="0"/>
          <w:color w:val="333333"/>
          <w:spacing w:val="0"/>
          <w:sz w:val="31"/>
          <w:szCs w:val="31"/>
          <w:bdr w:val="none" w:color="auto" w:sz="0" w:space="0"/>
          <w:shd w:val="clear" w:fill="FFFFFF"/>
        </w:rPr>
        <w:t> </w:t>
      </w:r>
      <w:r>
        <w:rPr>
          <w:rStyle w:val="5"/>
          <w:rFonts w:hint="default" w:ascii="Calibri" w:hAnsi="Calibri" w:eastAsia="Calibri" w:cs="Calibri"/>
          <w:i w:val="0"/>
          <w:iCs w:val="0"/>
          <w:caps w:val="0"/>
          <w:color w:val="333333"/>
          <w:spacing w:val="0"/>
          <w:sz w:val="31"/>
          <w:szCs w:val="31"/>
          <w:bdr w:val="none" w:color="auto" w:sz="0" w:space="0"/>
          <w:shd w:val="clear" w:fill="FFFFFF"/>
        </w:rPr>
        <w:t> </w:t>
      </w:r>
      <w:r>
        <w:rPr>
          <w:rStyle w:val="5"/>
          <w:rFonts w:hint="eastAsia" w:ascii="宋体" w:hAnsi="宋体" w:eastAsia="宋体" w:cs="宋体"/>
          <w:i w:val="0"/>
          <w:iCs w:val="0"/>
          <w:caps w:val="0"/>
          <w:color w:val="333333"/>
          <w:spacing w:val="0"/>
          <w:sz w:val="31"/>
          <w:szCs w:val="31"/>
          <w:bdr w:val="none" w:color="auto" w:sz="0" w:space="0"/>
          <w:shd w:val="clear" w:fill="FFFFFF"/>
        </w:rPr>
        <w:t>四、政府信息公开行政复议、行政诉讼情况</w:t>
      </w:r>
    </w:p>
    <w:tbl>
      <w:tblPr>
        <w:tblW w:w="9799" w:type="dxa"/>
        <w:jc w:val="center"/>
        <w:tblCellSpacing w:w="0" w:type="dxa"/>
        <w:shd w:val="clear"/>
        <w:tblLayout w:type="autofit"/>
        <w:tblCellMar>
          <w:top w:w="0" w:type="dxa"/>
          <w:left w:w="0" w:type="dxa"/>
          <w:bottom w:w="0" w:type="dxa"/>
          <w:right w:w="0" w:type="dxa"/>
        </w:tblCellMar>
      </w:tblPr>
      <w:tblGrid>
        <w:gridCol w:w="647"/>
        <w:gridCol w:w="647"/>
        <w:gridCol w:w="647"/>
        <w:gridCol w:w="647"/>
        <w:gridCol w:w="731"/>
        <w:gridCol w:w="598"/>
        <w:gridCol w:w="647"/>
        <w:gridCol w:w="647"/>
        <w:gridCol w:w="647"/>
        <w:gridCol w:w="668"/>
        <w:gridCol w:w="647"/>
        <w:gridCol w:w="647"/>
        <w:gridCol w:w="647"/>
        <w:gridCol w:w="647"/>
        <w:gridCol w:w="685"/>
      </w:tblGrid>
      <w:tr>
        <w:tblPrEx>
          <w:shd w:val="clear"/>
          <w:tblCellMar>
            <w:top w:w="0" w:type="dxa"/>
            <w:left w:w="0" w:type="dxa"/>
            <w:bottom w:w="0" w:type="dxa"/>
            <w:right w:w="0" w:type="dxa"/>
          </w:tblCellMar>
        </w:tblPrEx>
        <w:trPr>
          <w:trHeight w:val="692" w:hRule="atLeast"/>
          <w:tblCellSpacing w:w="0" w:type="dxa"/>
          <w:jc w:val="center"/>
        </w:trPr>
        <w:tc>
          <w:tcPr>
            <w:tcW w:w="3319"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行政复议</w:t>
            </w:r>
          </w:p>
        </w:tc>
        <w:tc>
          <w:tcPr>
            <w:tcW w:w="6480" w:type="dxa"/>
            <w:gridSpan w:val="10"/>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行政诉讼</w:t>
            </w:r>
          </w:p>
        </w:tc>
      </w:tr>
      <w:tr>
        <w:tblPrEx>
          <w:tblCellMar>
            <w:top w:w="0" w:type="dxa"/>
            <w:left w:w="0" w:type="dxa"/>
            <w:bottom w:w="0" w:type="dxa"/>
            <w:right w:w="0" w:type="dxa"/>
          </w:tblCellMar>
        </w:tblPrEx>
        <w:trPr>
          <w:trHeight w:val="692" w:hRule="atLeast"/>
          <w:tblCellSpacing w:w="0" w:type="dxa"/>
          <w:jc w:val="center"/>
        </w:trPr>
        <w:tc>
          <w:tcPr>
            <w:tcW w:w="647" w:type="dxa"/>
            <w:vMerge w:val="restart"/>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结果维持</w:t>
            </w:r>
          </w:p>
        </w:tc>
        <w:tc>
          <w:tcPr>
            <w:tcW w:w="647" w:type="dxa"/>
            <w:vMerge w:val="restart"/>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结果纠正</w:t>
            </w:r>
          </w:p>
        </w:tc>
        <w:tc>
          <w:tcPr>
            <w:tcW w:w="647" w:type="dxa"/>
            <w:vMerge w:val="restart"/>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其他结果</w:t>
            </w:r>
          </w:p>
        </w:tc>
        <w:tc>
          <w:tcPr>
            <w:tcW w:w="647" w:type="dxa"/>
            <w:vMerge w:val="restart"/>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尚未审结</w:t>
            </w:r>
          </w:p>
        </w:tc>
        <w:tc>
          <w:tcPr>
            <w:tcW w:w="731" w:type="dxa"/>
            <w:vMerge w:val="restart"/>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总计</w:t>
            </w:r>
          </w:p>
        </w:tc>
        <w:tc>
          <w:tcPr>
            <w:tcW w:w="3207" w:type="dxa"/>
            <w:gridSpan w:val="5"/>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未经复议直接起诉</w:t>
            </w:r>
          </w:p>
        </w:tc>
        <w:tc>
          <w:tcPr>
            <w:tcW w:w="3273" w:type="dxa"/>
            <w:gridSpan w:val="5"/>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复议后起诉</w:t>
            </w:r>
          </w:p>
        </w:tc>
      </w:tr>
      <w:tr>
        <w:tblPrEx>
          <w:tblCellMar>
            <w:top w:w="0" w:type="dxa"/>
            <w:left w:w="0" w:type="dxa"/>
            <w:bottom w:w="0" w:type="dxa"/>
            <w:right w:w="0" w:type="dxa"/>
          </w:tblCellMar>
        </w:tblPrEx>
        <w:trPr>
          <w:trHeight w:val="1434" w:hRule="atLeast"/>
          <w:tblCellSpacing w:w="0" w:type="dxa"/>
          <w:jc w:val="center"/>
        </w:trPr>
        <w:tc>
          <w:tcPr>
            <w:tcW w:w="647" w:type="dxa"/>
            <w:vMerge w:val="continue"/>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47" w:type="dxa"/>
            <w:vMerge w:val="continue"/>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47" w:type="dxa"/>
            <w:vMerge w:val="continue"/>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647" w:type="dxa"/>
            <w:vMerge w:val="continue"/>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731" w:type="dxa"/>
            <w:vMerge w:val="continue"/>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9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结果维持</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结果纠正</w:t>
            </w:r>
          </w:p>
        </w:tc>
        <w:tc>
          <w:tcPr>
            <w:tcW w:w="64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其他结果</w:t>
            </w:r>
          </w:p>
        </w:tc>
        <w:tc>
          <w:tcPr>
            <w:tcW w:w="64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尚未审结</w:t>
            </w:r>
          </w:p>
        </w:tc>
        <w:tc>
          <w:tcPr>
            <w:tcW w:w="668"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总计</w:t>
            </w:r>
          </w:p>
        </w:tc>
        <w:tc>
          <w:tcPr>
            <w:tcW w:w="64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结果维持</w:t>
            </w:r>
          </w:p>
        </w:tc>
        <w:tc>
          <w:tcPr>
            <w:tcW w:w="64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结果纠正</w:t>
            </w:r>
          </w:p>
        </w:tc>
        <w:tc>
          <w:tcPr>
            <w:tcW w:w="64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其他结果</w:t>
            </w:r>
          </w:p>
        </w:tc>
        <w:tc>
          <w:tcPr>
            <w:tcW w:w="647"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尚未审结</w:t>
            </w:r>
          </w:p>
        </w:tc>
        <w:tc>
          <w:tcPr>
            <w:tcW w:w="68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9"/>
                <w:szCs w:val="19"/>
                <w:bdr w:val="none" w:color="auto" w:sz="0" w:space="0"/>
              </w:rPr>
              <w:t>总计</w:t>
            </w:r>
          </w:p>
        </w:tc>
      </w:tr>
      <w:tr>
        <w:tblPrEx>
          <w:tblCellMar>
            <w:top w:w="0" w:type="dxa"/>
            <w:left w:w="0" w:type="dxa"/>
            <w:bottom w:w="0" w:type="dxa"/>
            <w:right w:w="0" w:type="dxa"/>
          </w:tblCellMar>
        </w:tblPrEx>
        <w:trPr>
          <w:trHeight w:val="677" w:hRule="atLeast"/>
          <w:tblCellSpacing w:w="0" w:type="dxa"/>
          <w:jc w:val="center"/>
        </w:trPr>
        <w:tc>
          <w:tcPr>
            <w:tcW w:w="647"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731"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59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668"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0</w:t>
            </w:r>
          </w:p>
        </w:tc>
        <w:tc>
          <w:tcPr>
            <w:tcW w:w="647"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0 </w:t>
            </w:r>
          </w:p>
        </w:tc>
        <w:tc>
          <w:tcPr>
            <w:tcW w:w="6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Style w:val="5"/>
          <w:rFonts w:hint="default" w:ascii="Calibri" w:hAnsi="Calibri" w:eastAsia="Calibri" w:cs="Calibri"/>
          <w:i w:val="0"/>
          <w:iCs w:val="0"/>
          <w:caps w:val="0"/>
          <w:color w:val="333333"/>
          <w:spacing w:val="0"/>
          <w:sz w:val="31"/>
          <w:szCs w:val="31"/>
          <w:bdr w:val="none" w:color="auto" w:sz="0" w:space="0"/>
          <w:shd w:val="clear" w:fill="FFFFFF"/>
        </w:rPr>
        <w:t>  </w:t>
      </w:r>
      <w:r>
        <w:rPr>
          <w:rStyle w:val="5"/>
          <w:rFonts w:hint="eastAsia" w:ascii="宋体" w:hAnsi="宋体" w:eastAsia="宋体" w:cs="宋体"/>
          <w:i w:val="0"/>
          <w:iCs w:val="0"/>
          <w:caps w:val="0"/>
          <w:color w:val="333333"/>
          <w:spacing w:val="0"/>
          <w:sz w:val="31"/>
          <w:szCs w:val="31"/>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Fonts w:hint="eastAsia" w:ascii="宋体" w:hAnsi="宋体" w:eastAsia="宋体" w:cs="宋体"/>
          <w:i w:val="0"/>
          <w:iCs w:val="0"/>
          <w:caps w:val="0"/>
          <w:color w:val="333333"/>
          <w:spacing w:val="0"/>
          <w:sz w:val="31"/>
          <w:szCs w:val="31"/>
          <w:bdr w:val="none" w:color="auto" w:sz="0" w:space="0"/>
          <w:shd w:val="clear" w:fill="FFFFFF"/>
        </w:rPr>
        <w:t>虽然我镇政务公开工作取得了一定成效，但是受乡镇基础设施薄弱的限制，加上镇政府日常事务繁杂，人员紧缺，工作人员身兼多职，公开信息的利用率、信息数量、质量，对照目标要求，仍然存在不足。</w:t>
      </w:r>
      <w:r>
        <w:rPr>
          <w:rFonts w:hint="default" w:ascii="Calibri" w:hAnsi="Calibri" w:eastAsia="Calibri" w:cs="Calibri"/>
          <w:i w:val="0"/>
          <w:iCs w:val="0"/>
          <w:caps w:val="0"/>
          <w:color w:val="333333"/>
          <w:spacing w:val="0"/>
          <w:sz w:val="31"/>
          <w:szCs w:val="31"/>
          <w:bdr w:val="none" w:color="auto" w:sz="0" w:space="0"/>
          <w:shd w:val="clear" w:fill="FFFFFF"/>
        </w:rPr>
        <w:t>2020</w:t>
      </w:r>
      <w:r>
        <w:rPr>
          <w:rFonts w:hint="eastAsia" w:ascii="宋体" w:hAnsi="宋体" w:eastAsia="宋体" w:cs="宋体"/>
          <w:i w:val="0"/>
          <w:iCs w:val="0"/>
          <w:caps w:val="0"/>
          <w:color w:val="333333"/>
          <w:spacing w:val="0"/>
          <w:sz w:val="31"/>
          <w:szCs w:val="31"/>
          <w:bdr w:val="none" w:color="auto" w:sz="0" w:space="0"/>
          <w:shd w:val="clear" w:fill="FFFFFF"/>
        </w:rPr>
        <w:t>年度我镇政府信息公开，主要存在以下问题：一是对信息公开工作认识不足，政府信息公开的尺度难以把握；二是信息内容的及时性、全面性、便民性以及公开形式、渠道等有待提高。为此，</w:t>
      </w:r>
      <w:r>
        <w:rPr>
          <w:rFonts w:hint="default" w:ascii="Calibri" w:hAnsi="Calibri" w:eastAsia="Calibri" w:cs="Calibri"/>
          <w:i w:val="0"/>
          <w:iCs w:val="0"/>
          <w:caps w:val="0"/>
          <w:color w:val="333333"/>
          <w:spacing w:val="0"/>
          <w:sz w:val="31"/>
          <w:szCs w:val="31"/>
          <w:bdr w:val="none" w:color="auto" w:sz="0" w:space="0"/>
          <w:shd w:val="clear" w:fill="FFFFFF"/>
        </w:rPr>
        <w:t>2020</w:t>
      </w:r>
      <w:r>
        <w:rPr>
          <w:rFonts w:hint="eastAsia" w:ascii="宋体" w:hAnsi="宋体" w:eastAsia="宋体" w:cs="宋体"/>
          <w:i w:val="0"/>
          <w:iCs w:val="0"/>
          <w:caps w:val="0"/>
          <w:color w:val="333333"/>
          <w:spacing w:val="0"/>
          <w:sz w:val="31"/>
          <w:szCs w:val="31"/>
          <w:bdr w:val="none" w:color="auto" w:sz="0" w:space="0"/>
          <w:shd w:val="clear" w:fill="FFFFFF"/>
        </w:rPr>
        <w:t>年政府信息公开工作我们将采取以下措施积极改进：</w:t>
      </w:r>
      <w:r>
        <w:rPr>
          <w:rFonts w:hint="default" w:ascii="Calibri" w:hAnsi="Calibri" w:eastAsia="Calibri" w:cs="Calibri"/>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Fonts w:hint="eastAsia" w:ascii="宋体" w:hAnsi="宋体" w:eastAsia="宋体" w:cs="宋体"/>
          <w:i w:val="0"/>
          <w:iCs w:val="0"/>
          <w:caps w:val="0"/>
          <w:color w:val="333333"/>
          <w:spacing w:val="0"/>
          <w:sz w:val="31"/>
          <w:szCs w:val="31"/>
          <w:bdr w:val="none" w:color="auto" w:sz="0" w:space="0"/>
          <w:shd w:val="clear" w:fill="FFFFFF"/>
        </w:rPr>
        <w:t>（一）加强业务学习，提高业务能力。加强对相关工作人员的教育培训，加强政府信息公开信息员队伍建设，提升信息员综合素质，提高工作效率，提高做好信息公共工作的能力以及水平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Fonts w:hint="eastAsia" w:ascii="宋体" w:hAnsi="宋体" w:eastAsia="宋体" w:cs="宋体"/>
          <w:i w:val="0"/>
          <w:iCs w:val="0"/>
          <w:caps w:val="0"/>
          <w:color w:val="333333"/>
          <w:spacing w:val="0"/>
          <w:sz w:val="31"/>
          <w:szCs w:val="31"/>
          <w:bdr w:val="none" w:color="auto" w:sz="0" w:space="0"/>
          <w:shd w:val="clear" w:fill="FFFFFF"/>
        </w:rPr>
        <w:t>（二）拓宽宣传渠道，加大信息公开力度。充分运用微博、微信等新媒体渠道，加强村镇联动，整合现有资源，采用信息公告栏、电子信息屏等设施，加大政府信息公布的力度。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Fonts w:hint="eastAsia" w:ascii="宋体" w:hAnsi="宋体" w:eastAsia="宋体" w:cs="宋体"/>
          <w:i w:val="0"/>
          <w:iCs w:val="0"/>
          <w:caps w:val="0"/>
          <w:color w:val="333333"/>
          <w:spacing w:val="0"/>
          <w:sz w:val="31"/>
          <w:szCs w:val="31"/>
          <w:bdr w:val="none" w:color="auto" w:sz="0" w:space="0"/>
          <w:shd w:val="clear" w:fill="FFFFFF"/>
        </w:rPr>
        <w:t>（三）保证信息公开内容准确，真实有效。不断丰富公开内容。在遵循公正、公平、便民的原则上，广泛听取群众的意见和建议的基础，重点公开人民群众普遍关心的热点。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Style w:val="5"/>
          <w:rFonts w:hint="eastAsia" w:ascii="宋体" w:hAnsi="宋体" w:eastAsia="宋体" w:cs="宋体"/>
          <w:i w:val="0"/>
          <w:iCs w:val="0"/>
          <w:caps w:val="0"/>
          <w:color w:val="333333"/>
          <w:spacing w:val="0"/>
          <w:sz w:val="31"/>
          <w:szCs w:val="31"/>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both"/>
      </w:pPr>
      <w:r>
        <w:rPr>
          <w:rFonts w:hint="eastAsia" w:ascii="宋体" w:hAnsi="宋体" w:eastAsia="宋体" w:cs="宋体"/>
          <w:i w:val="0"/>
          <w:iCs w:val="0"/>
          <w:caps w:val="0"/>
          <w:color w:val="333333"/>
          <w:spacing w:val="0"/>
          <w:sz w:val="31"/>
          <w:szCs w:val="31"/>
          <w:bdr w:val="none" w:color="auto" w:sz="0" w:space="0"/>
          <w:shd w:val="clear" w:fill="FFFFFF"/>
        </w:rPr>
        <w:t>其他需要报告的事项：无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917F4"/>
    <w:rsid w:val="552917F4"/>
    <w:rsid w:val="7C4D0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2021-04-29T02:18:00Z</dcterms:created>
  <dc:creator>龙雀</dc:creator>
  <cp:lastModifiedBy>龙雀</cp:lastModifiedBy>
  <dcterms:modified xsi:type="dcterms:W3CDTF">2021-04-29T02:20:17Z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DB1694E0A13549CFA073DFA0EA219BA0</vt:lpwstr>
  </property>
</Properties>
</file>