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黑体"/>
          <w:b/>
          <w:bCs/>
          <w:color w:val="333333"/>
          <w:sz w:val="44"/>
          <w:szCs w:val="44"/>
        </w:rPr>
      </w:pPr>
      <w:r>
        <w:rPr>
          <w:rFonts w:hint="eastAsia" w:ascii="方正小标宋简体" w:hAnsi="方正小标宋简体" w:eastAsia="方正小标宋简体" w:cs="黑体"/>
          <w:b/>
          <w:bCs/>
          <w:color w:val="333333"/>
          <w:kern w:val="0"/>
          <w:sz w:val="44"/>
          <w:szCs w:val="44"/>
        </w:rPr>
        <w:t>国家税务总局宜春市袁州区税务局2022年政府信息公开年度报告</w:t>
      </w:r>
    </w:p>
    <w:p>
      <w:pPr>
        <w:pStyle w:val="4"/>
        <w:widowControl/>
        <w:spacing w:beforeAutospacing="0" w:afterAutospacing="0" w:line="600" w:lineRule="exact"/>
        <w:ind w:firstLine="640" w:firstLineChars="200"/>
        <w:rPr>
          <w:rFonts w:hint="eastAsia" w:ascii="仿宋_GB2312" w:hAnsi="仿宋" w:eastAsia="仿宋_GB2312" w:cs="仿宋"/>
          <w:color w:val="333333"/>
          <w:sz w:val="32"/>
          <w:szCs w:val="32"/>
        </w:rPr>
      </w:pPr>
    </w:p>
    <w:p>
      <w:pPr>
        <w:pStyle w:val="4"/>
        <w:widowControl/>
        <w:spacing w:beforeAutospacing="0" w:afterAutospacing="0" w:line="560" w:lineRule="exact"/>
        <w:ind w:firstLine="640" w:firstLineChars="200"/>
        <w:jc w:val="both"/>
        <w:rPr>
          <w:rFonts w:hint="eastAsia" w:ascii="仿宋_GB2312" w:eastAsia="仿宋_GB2312"/>
          <w:sz w:val="32"/>
          <w:szCs w:val="32"/>
        </w:rPr>
      </w:pPr>
      <w:r>
        <w:rPr>
          <w:rFonts w:hint="eastAsia" w:ascii="仿宋_GB2312" w:hAnsi="仿宋" w:eastAsia="仿宋_GB2312" w:cs="仿宋"/>
          <w:color w:val="333333"/>
          <w:sz w:val="32"/>
          <w:szCs w:val="32"/>
        </w:rPr>
        <w:t>根据《中华人民共和国政府信息公开条例》（国务院令第711号）和《国务院办公厅政府信息与政务公开办公室关于印发中华人民共和国政府信息公开工作年度报告格式的通知》（国办公开办函〔2021〕30号）等文件通知要求，编制本报告。报告全文包括总体情况，主动公开政府信息情况，收到和处理政府信息公开申请情况，政府信息公开行政复议、行政诉讼情况，存在的主要问题及改进措施，其他需要报告的事项等6个部分。此报告统计数据时限为202</w:t>
      </w:r>
      <w:r>
        <w:rPr>
          <w:rFonts w:hint="eastAsia" w:ascii="仿宋_GB2312" w:hAnsi="仿宋" w:eastAsia="仿宋_GB2312" w:cs="仿宋"/>
          <w:color w:val="333333"/>
          <w:sz w:val="32"/>
          <w:szCs w:val="32"/>
          <w:lang w:val="en-US" w:eastAsia="zh-CN"/>
        </w:rPr>
        <w:t>2</w:t>
      </w:r>
      <w:bookmarkStart w:id="0" w:name="_GoBack"/>
      <w:bookmarkEnd w:id="0"/>
      <w:r>
        <w:rPr>
          <w:rFonts w:hint="eastAsia" w:ascii="仿宋_GB2312" w:hAnsi="仿宋" w:eastAsia="仿宋_GB2312" w:cs="仿宋"/>
          <w:color w:val="333333"/>
          <w:sz w:val="32"/>
          <w:szCs w:val="32"/>
        </w:rPr>
        <w:t>年1月1日至2022年12月31日。报告电子版可在网站进行下载。如对本年报有任何疑问，请与本单位政府信息公开（政务公开）工作领导小组办公室，地址：宜春市秀江东路616号，电话：0795-3259066，电子邮箱：</w:t>
      </w:r>
      <w:r>
        <w:fldChar w:fldCharType="begin"/>
      </w:r>
      <w:r>
        <w:instrText xml:space="preserve"> HYPERLINK "mailto:yzdsbgs@126.com" </w:instrText>
      </w:r>
      <w:r>
        <w:fldChar w:fldCharType="separate"/>
      </w:r>
      <w:r>
        <w:rPr>
          <w:rStyle w:val="8"/>
          <w:rFonts w:hint="eastAsia" w:ascii="仿宋_GB2312" w:hAnsi="仿宋" w:eastAsia="仿宋_GB2312" w:cs="仿宋"/>
          <w:color w:val="333333"/>
          <w:sz w:val="32"/>
          <w:szCs w:val="32"/>
          <w:u w:val="none"/>
        </w:rPr>
        <w:t>yzqswbgs@126.com</w:t>
      </w:r>
      <w:r>
        <w:rPr>
          <w:rStyle w:val="8"/>
          <w:rFonts w:hint="eastAsia" w:ascii="仿宋_GB2312" w:hAnsi="仿宋" w:eastAsia="仿宋_GB2312" w:cs="仿宋"/>
          <w:color w:val="333333"/>
          <w:sz w:val="32"/>
          <w:szCs w:val="32"/>
          <w:u w:val="none"/>
        </w:rPr>
        <w:fldChar w:fldCharType="end"/>
      </w:r>
      <w:r>
        <w:rPr>
          <w:rFonts w:hint="eastAsia" w:ascii="仿宋_GB2312" w:hAnsi="仿宋" w:eastAsia="仿宋_GB2312" w:cs="仿宋"/>
          <w:color w:val="333333"/>
          <w:sz w:val="32"/>
          <w:szCs w:val="32"/>
        </w:rPr>
        <w:t>。</w:t>
      </w:r>
    </w:p>
    <w:p>
      <w:pPr>
        <w:pStyle w:val="4"/>
        <w:widowControl/>
        <w:spacing w:beforeAutospacing="0" w:afterAutospacing="0" w:line="560" w:lineRule="exact"/>
        <w:ind w:firstLine="640" w:firstLineChars="200"/>
        <w:jc w:val="both"/>
        <w:rPr>
          <w:rFonts w:ascii="黑体" w:hAnsi="黑体" w:eastAsia="黑体" w:cs="仿宋"/>
          <w:color w:val="333333"/>
          <w:sz w:val="32"/>
          <w:szCs w:val="32"/>
        </w:rPr>
      </w:pPr>
      <w:r>
        <w:rPr>
          <w:rFonts w:ascii="黑体" w:hAnsi="黑体" w:eastAsia="黑体" w:cs="仿宋"/>
          <w:color w:val="333333"/>
          <w:sz w:val="32"/>
          <w:szCs w:val="32"/>
        </w:rPr>
        <w:t>一、总体情况</w:t>
      </w:r>
    </w:p>
    <w:p>
      <w:pPr>
        <w:pStyle w:val="4"/>
        <w:widowControl/>
        <w:spacing w:beforeAutospacing="0" w:afterAutospacing="0" w:line="560" w:lineRule="exact"/>
        <w:ind w:firstLine="640" w:firstLineChars="200"/>
        <w:jc w:val="both"/>
        <w:rPr>
          <w:rFonts w:ascii="仿宋_GB2312" w:hAnsi="仿宋" w:eastAsia="仿宋_GB2312" w:cs="仿宋"/>
          <w:color w:val="333333"/>
          <w:sz w:val="32"/>
          <w:szCs w:val="32"/>
        </w:rPr>
      </w:pPr>
      <w:r>
        <w:rPr>
          <w:rFonts w:hint="eastAsia" w:ascii="仿宋_GB2312" w:hAnsi="仿宋" w:eastAsia="仿宋_GB2312" w:cs="仿宋"/>
          <w:color w:val="333333"/>
          <w:sz w:val="32"/>
          <w:szCs w:val="32"/>
        </w:rPr>
        <w:t>2022年，袁州区税务局坚持以习近平新时代中国特色社会主义思想为指导，深入学习贯彻党的二十大精神，按照《条例》要求，坚持“以公开为原则、不公开为例外”，通过公开来提高整体工作效能，凝心聚力，科学谋划，</w:t>
      </w:r>
      <w:r>
        <w:rPr>
          <w:rFonts w:hint="eastAsia" w:ascii="仿宋_GB2312" w:hAnsi="仿宋" w:eastAsia="仿宋_GB2312" w:cs="仿宋"/>
          <w:color w:val="333333"/>
          <w:sz w:val="32"/>
          <w:szCs w:val="32"/>
          <w:lang w:eastAsia="zh-CN"/>
        </w:rPr>
        <w:t>确保</w:t>
      </w:r>
      <w:r>
        <w:rPr>
          <w:rFonts w:hint="eastAsia" w:ascii="仿宋_GB2312" w:hAnsi="仿宋" w:eastAsia="仿宋_GB2312" w:cs="仿宋"/>
          <w:color w:val="333333"/>
          <w:sz w:val="32"/>
          <w:szCs w:val="32"/>
        </w:rPr>
        <w:t>政府信息公开工作有序运转。</w:t>
      </w:r>
    </w:p>
    <w:p>
      <w:pPr>
        <w:pStyle w:val="4"/>
        <w:widowControl/>
        <w:spacing w:beforeAutospacing="0" w:afterAutospacing="0" w:line="560" w:lineRule="exact"/>
        <w:ind w:firstLine="643" w:firstLineChars="200"/>
        <w:jc w:val="both"/>
        <w:rPr>
          <w:rFonts w:hint="eastAsia" w:ascii="仿宋_GB2312" w:hAnsi="仿宋" w:eastAsia="仿宋_GB2312" w:cs="仿宋"/>
          <w:color w:val="333333"/>
          <w:sz w:val="32"/>
          <w:szCs w:val="32"/>
        </w:rPr>
      </w:pPr>
      <w:r>
        <w:rPr>
          <w:rFonts w:hint="eastAsia" w:ascii="楷体_GB2312" w:eastAsia="楷体_GB2312"/>
          <w:b/>
          <w:sz w:val="32"/>
          <w:szCs w:val="32"/>
        </w:rPr>
        <w:t xml:space="preserve">（一）主动公开方面 </w:t>
      </w:r>
      <w:r>
        <w:rPr>
          <w:rFonts w:hint="eastAsia" w:ascii="仿宋_GB2312" w:hAnsi="仿宋" w:eastAsia="仿宋_GB2312" w:cs="仿宋"/>
          <w:color w:val="333333"/>
          <w:sz w:val="32"/>
          <w:szCs w:val="32"/>
        </w:rPr>
        <w:t>深入贯彻落实上级部门对政府信息公开工作的部署，完善主动公开制度，持续加大公开力度，做好税收法律法规的公开工作。按照省局网站管理要求，规范化标准化管理网站，及时发布相关涉税内容和更新公示内容，确保公开文件时效。对于单位人事任免、采购、预算决算等公众关注的敏感信息，做到有事项必公开。重点公开纳税人缴费人关注的政策内容，提高信息质量。拓展主动公开渠道，在人民网、大江网、学习强国等主流媒体上稿126余篇。</w:t>
      </w:r>
    </w:p>
    <w:p>
      <w:pPr>
        <w:pStyle w:val="4"/>
        <w:widowControl/>
        <w:spacing w:beforeAutospacing="0" w:afterAutospacing="0" w:line="560" w:lineRule="exact"/>
        <w:ind w:firstLine="643" w:firstLineChars="200"/>
        <w:jc w:val="both"/>
        <w:rPr>
          <w:rFonts w:ascii="仿宋_GB2312" w:hAnsi="仿宋" w:eastAsia="仿宋_GB2312" w:cs="仿宋"/>
          <w:color w:val="333333"/>
          <w:sz w:val="32"/>
          <w:szCs w:val="32"/>
        </w:rPr>
      </w:pPr>
      <w:r>
        <w:rPr>
          <w:rFonts w:hint="eastAsia" w:ascii="楷体_GB2312" w:eastAsia="楷体_GB2312"/>
          <w:b/>
          <w:sz w:val="32"/>
          <w:szCs w:val="32"/>
        </w:rPr>
        <w:t>（二）依申请公开方面</w:t>
      </w:r>
      <w:r>
        <w:rPr>
          <w:rFonts w:hint="eastAsia" w:ascii="仿宋_GB2312" w:eastAsia="仿宋_GB2312"/>
          <w:b/>
          <w:sz w:val="32"/>
          <w:szCs w:val="32"/>
        </w:rPr>
        <w:t> </w:t>
      </w:r>
      <w:r>
        <w:rPr>
          <w:rFonts w:hint="eastAsia" w:ascii="仿宋_GB2312" w:hAnsi="仿宋" w:eastAsia="仿宋_GB2312" w:cs="仿宋"/>
          <w:color w:val="333333"/>
          <w:sz w:val="32"/>
          <w:szCs w:val="32"/>
        </w:rPr>
        <w:t xml:space="preserve"> 高度重视依申请公开工作，纳税人缴费人可经由宜春市税务局及袁州区政府门户网站信息公开栏查阅依申请公开指南、制度规范及相关受理须知，做到渠道畅通，回复规范。2022年我局未收到依申请公开事项。</w:t>
      </w:r>
    </w:p>
    <w:p>
      <w:pPr>
        <w:pStyle w:val="4"/>
        <w:widowControl/>
        <w:spacing w:beforeAutospacing="0" w:afterAutospacing="0" w:line="560" w:lineRule="exact"/>
        <w:ind w:firstLine="643" w:firstLineChars="200"/>
        <w:jc w:val="both"/>
        <w:rPr>
          <w:rFonts w:ascii="仿宋_GB2312" w:hAnsi="仿宋" w:eastAsia="仿宋_GB2312" w:cs="仿宋"/>
          <w:color w:val="333333"/>
          <w:sz w:val="32"/>
          <w:szCs w:val="32"/>
        </w:rPr>
      </w:pPr>
      <w:r>
        <w:rPr>
          <w:rFonts w:hint="eastAsia" w:ascii="楷体_GB2312" w:eastAsia="楷体_GB2312"/>
          <w:b/>
          <w:sz w:val="32"/>
          <w:szCs w:val="32"/>
        </w:rPr>
        <w:t>（三）政府信息管理方面</w:t>
      </w:r>
      <w:r>
        <w:rPr>
          <w:rFonts w:hint="eastAsia" w:ascii="仿宋_GB2312" w:eastAsia="仿宋_GB2312"/>
          <w:b/>
          <w:sz w:val="32"/>
          <w:szCs w:val="32"/>
        </w:rPr>
        <w:t xml:space="preserve">  </w:t>
      </w:r>
      <w:r>
        <w:rPr>
          <w:rFonts w:hint="eastAsia" w:ascii="仿宋_GB2312" w:hAnsi="仿宋" w:eastAsia="仿宋_GB2312" w:cs="仿宋"/>
          <w:color w:val="333333"/>
          <w:sz w:val="32"/>
          <w:szCs w:val="32"/>
        </w:rPr>
        <w:t>严格按照《条例》规定的公开范围，以政府信息公开网站为主，依法依规及时公开相关政府信息，公开的内容主要包括领导简介、机构职能、机构设置、联系方式、人事任免等信息。同时，紧扣纳税人缴费人密切关注事项，及时发布信息公开、工作动态、宣传报道、通知公告、最新文件及政策解读等，形成传播合力，增强政策的传播力、影响力。2022年，通过宜春市税务局门户网站(含内网)和袁州区政府网站公开各类信息242条。</w:t>
      </w:r>
    </w:p>
    <w:p>
      <w:pPr>
        <w:pStyle w:val="4"/>
        <w:widowControl/>
        <w:spacing w:beforeAutospacing="0" w:afterAutospacing="0" w:line="560" w:lineRule="exact"/>
        <w:ind w:firstLine="643" w:firstLineChars="200"/>
        <w:jc w:val="both"/>
        <w:rPr>
          <w:rFonts w:ascii="仿宋_GB2312" w:hAnsi="仿宋" w:eastAsia="仿宋_GB2312" w:cs="仿宋"/>
          <w:color w:val="333333"/>
          <w:sz w:val="32"/>
          <w:szCs w:val="32"/>
        </w:rPr>
      </w:pPr>
      <w:r>
        <w:rPr>
          <w:rFonts w:hint="eastAsia" w:ascii="楷体_GB2312" w:eastAsia="楷体_GB2312"/>
          <w:b/>
          <w:sz w:val="32"/>
          <w:szCs w:val="32"/>
        </w:rPr>
        <w:t xml:space="preserve">（四）政府信息公开平台建设方面 </w:t>
      </w:r>
      <w:r>
        <w:rPr>
          <w:rFonts w:hint="eastAsia" w:ascii="仿宋_GB2312" w:eastAsia="仿宋_GB2312"/>
          <w:b/>
          <w:sz w:val="32"/>
          <w:szCs w:val="32"/>
        </w:rPr>
        <w:t> </w:t>
      </w:r>
      <w:r>
        <w:rPr>
          <w:rFonts w:hint="eastAsia" w:ascii="仿宋_GB2312" w:hAnsi="仿宋" w:eastAsia="仿宋_GB2312" w:cs="仿宋"/>
          <w:color w:val="333333"/>
          <w:sz w:val="32"/>
          <w:szCs w:val="32"/>
        </w:rPr>
        <w:t>强化网站管理，一是按照市税务局要求紧靠省局网站做好信息发布工作，不断拓宽公开范围，细化公开内容。二是按照区委区政府要求进驻区政府网站做好信息发布工作，做到常规性工作定期公开</w:t>
      </w:r>
      <w:r>
        <w:rPr>
          <w:rFonts w:hint="eastAsia" w:ascii="仿宋_GB2312" w:hAnsi="仿宋" w:eastAsia="仿宋_GB2312" w:cs="仿宋"/>
          <w:color w:val="333333"/>
          <w:sz w:val="32"/>
          <w:szCs w:val="32"/>
          <w:lang w:eastAsia="zh-CN"/>
        </w:rPr>
        <w:t>、</w:t>
      </w:r>
      <w:r>
        <w:rPr>
          <w:rFonts w:hint="eastAsia" w:ascii="仿宋_GB2312" w:hAnsi="仿宋" w:eastAsia="仿宋_GB2312" w:cs="仿宋"/>
          <w:color w:val="333333"/>
          <w:sz w:val="32"/>
          <w:szCs w:val="32"/>
        </w:rPr>
        <w:t>临时性工作随时公开</w:t>
      </w:r>
      <w:r>
        <w:rPr>
          <w:rFonts w:hint="eastAsia" w:ascii="仿宋_GB2312" w:hAnsi="仿宋" w:eastAsia="仿宋_GB2312" w:cs="仿宋"/>
          <w:color w:val="333333"/>
          <w:sz w:val="32"/>
          <w:szCs w:val="32"/>
          <w:lang w:eastAsia="zh-CN"/>
        </w:rPr>
        <w:t>、</w:t>
      </w:r>
      <w:r>
        <w:rPr>
          <w:rFonts w:hint="eastAsia" w:ascii="仿宋_GB2312" w:hAnsi="仿宋" w:eastAsia="仿宋_GB2312" w:cs="仿宋"/>
          <w:color w:val="333333"/>
          <w:sz w:val="32"/>
          <w:szCs w:val="32"/>
        </w:rPr>
        <w:t>固定性工作长期公开，为公众获取相关政府信息提供便捷渠道。三是加大政府网站管理，不定期对公开内容、栏目更新情况进行检查，积极落实整改，不断提升政府网站信息内容建设水平。</w:t>
      </w:r>
    </w:p>
    <w:p>
      <w:pPr>
        <w:pStyle w:val="4"/>
        <w:widowControl/>
        <w:spacing w:beforeAutospacing="0" w:afterAutospacing="0" w:line="560" w:lineRule="exact"/>
        <w:ind w:firstLine="643" w:firstLineChars="200"/>
        <w:jc w:val="both"/>
        <w:rPr>
          <w:rFonts w:ascii="仿宋_GB2312" w:hAnsi="仿宋" w:eastAsia="仿宋_GB2312" w:cs="仿宋"/>
          <w:color w:val="333333"/>
          <w:sz w:val="32"/>
          <w:szCs w:val="32"/>
        </w:rPr>
      </w:pPr>
      <w:r>
        <w:rPr>
          <w:rFonts w:hint="eastAsia" w:ascii="楷体_GB2312" w:eastAsia="楷体_GB2312"/>
          <w:b/>
          <w:sz w:val="32"/>
          <w:szCs w:val="32"/>
        </w:rPr>
        <w:t>（五）监督保障方面</w:t>
      </w:r>
      <w:r>
        <w:rPr>
          <w:rFonts w:hint="eastAsia" w:ascii="仿宋_GB2312" w:eastAsia="仿宋_GB2312"/>
          <w:b/>
          <w:sz w:val="32"/>
          <w:szCs w:val="32"/>
        </w:rPr>
        <w:t> </w:t>
      </w:r>
      <w:r>
        <w:rPr>
          <w:rFonts w:hint="eastAsia" w:ascii="仿宋_GB2312" w:hAnsi="仿宋" w:eastAsia="仿宋_GB2312" w:cs="仿宋"/>
          <w:color w:val="333333"/>
          <w:sz w:val="32"/>
          <w:szCs w:val="32"/>
        </w:rPr>
        <w:t xml:space="preserve"> 进一步健全政务公开领导小组，由分管领导任组长，办公室负责人任副组长，下设办公室，各机关股室通力配合，细化责任分工，充分发挥职能，各司其责。严格落实“三审三校”制度，坚持“谁提供、谁负责”、“谁审批，谁负责”原则，确保政务公开工作规范化、标准化。</w:t>
      </w:r>
    </w:p>
    <w:p>
      <w:pPr>
        <w:pStyle w:val="4"/>
        <w:widowControl/>
        <w:spacing w:beforeAutospacing="0" w:afterAutospacing="0" w:line="600" w:lineRule="exact"/>
        <w:ind w:firstLine="640" w:firstLineChars="200"/>
        <w:rPr>
          <w:rFonts w:ascii="黑体" w:hAnsi="黑体" w:eastAsia="黑体" w:cs="仿宋"/>
          <w:color w:val="333333"/>
          <w:sz w:val="32"/>
          <w:szCs w:val="32"/>
        </w:rPr>
      </w:pPr>
      <w:r>
        <w:rPr>
          <w:rFonts w:hint="eastAsia" w:ascii="黑体" w:hAnsi="黑体" w:eastAsia="黑体" w:cs="仿宋"/>
          <w:color w:val="333333"/>
          <w:sz w:val="32"/>
          <w:szCs w:val="32"/>
        </w:rPr>
        <w:t>二、主动公开政府信息情况</w:t>
      </w:r>
    </w:p>
    <w:tbl>
      <w:tblPr>
        <w:tblStyle w:val="5"/>
        <w:tblW w:w="9735" w:type="dxa"/>
        <w:tblInd w:w="0" w:type="dxa"/>
        <w:tblLayout w:type="autofit"/>
        <w:tblCellMar>
          <w:top w:w="15" w:type="dxa"/>
          <w:left w:w="15" w:type="dxa"/>
          <w:bottom w:w="15" w:type="dxa"/>
          <w:right w:w="15" w:type="dxa"/>
        </w:tblCellMar>
      </w:tblPr>
      <w:tblGrid>
        <w:gridCol w:w="2430"/>
        <w:gridCol w:w="2430"/>
        <w:gridCol w:w="2430"/>
        <w:gridCol w:w="2445"/>
      </w:tblGrid>
      <w:tr>
        <w:tblPrEx>
          <w:tblCellMar>
            <w:top w:w="15" w:type="dxa"/>
            <w:left w:w="15" w:type="dxa"/>
            <w:bottom w:w="15" w:type="dxa"/>
            <w:right w:w="15" w:type="dxa"/>
          </w:tblCellMar>
        </w:tblPrEx>
        <w:trPr>
          <w:trHeight w:val="225" w:hRule="atLeast"/>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第二十条第（一）项</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信息内容</w:t>
            </w:r>
          </w:p>
        </w:tc>
        <w:tc>
          <w:tcPr>
            <w:tcW w:w="2430" w:type="dxa"/>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本年制发件数</w:t>
            </w:r>
          </w:p>
        </w:tc>
        <w:tc>
          <w:tcPr>
            <w:tcW w:w="2430" w:type="dxa"/>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本年废止件数</w:t>
            </w:r>
          </w:p>
        </w:tc>
        <w:tc>
          <w:tcPr>
            <w:tcW w:w="2430" w:type="dxa"/>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现行有效件数</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规章</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行政规范性文件</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243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rPr>
          <w:trHeight w:val="225" w:hRule="atLeast"/>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第二十条第（五）项</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信息内容</w:t>
            </w:r>
          </w:p>
        </w:tc>
        <w:tc>
          <w:tcPr>
            <w:tcW w:w="7305" w:type="dxa"/>
            <w:gridSpan w:val="3"/>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本年处理决定数量</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行政许可</w:t>
            </w:r>
          </w:p>
        </w:tc>
        <w:tc>
          <w:tcPr>
            <w:tcW w:w="7305" w:type="dxa"/>
            <w:gridSpan w:val="3"/>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rFonts w:hint="default" w:eastAsiaTheme="minorEastAsia"/>
                <w:sz w:val="21"/>
                <w:szCs w:val="21"/>
                <w:lang w:val="en-US" w:eastAsia="zh-CN"/>
              </w:rPr>
            </w:pPr>
            <w:r>
              <w:rPr>
                <w:rFonts w:hint="eastAsia" w:ascii="仿宋_GB2312" w:eastAsia="仿宋_GB2312" w:cs="仿宋_GB2312"/>
                <w:lang w:val="en-US" w:eastAsia="zh-CN"/>
              </w:rPr>
              <w:t>15071</w:t>
            </w:r>
          </w:p>
        </w:tc>
      </w:tr>
      <w:tr>
        <w:tblPrEx>
          <w:tblCellMar>
            <w:top w:w="15" w:type="dxa"/>
            <w:left w:w="15" w:type="dxa"/>
            <w:bottom w:w="15" w:type="dxa"/>
            <w:right w:w="15" w:type="dxa"/>
          </w:tblCellMar>
        </w:tblPrEx>
        <w:trPr>
          <w:trHeight w:val="225" w:hRule="atLeast"/>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第二十条第（六）项</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信息内容</w:t>
            </w:r>
          </w:p>
        </w:tc>
        <w:tc>
          <w:tcPr>
            <w:tcW w:w="7305" w:type="dxa"/>
            <w:gridSpan w:val="3"/>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本年处理决定数量</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行政处罚</w:t>
            </w:r>
          </w:p>
        </w:tc>
        <w:tc>
          <w:tcPr>
            <w:tcW w:w="7305" w:type="dxa"/>
            <w:gridSpan w:val="3"/>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rFonts w:hint="default" w:eastAsiaTheme="minorEastAsia"/>
                <w:sz w:val="21"/>
                <w:szCs w:val="21"/>
                <w:lang w:val="en-US" w:eastAsia="zh-CN"/>
              </w:rPr>
            </w:pPr>
            <w:r>
              <w:rPr>
                <w:rFonts w:hint="eastAsia" w:ascii="仿宋_GB2312" w:eastAsia="仿宋_GB2312" w:cs="仿宋_GB2312"/>
                <w:lang w:val="en-US" w:eastAsia="zh-CN"/>
              </w:rPr>
              <w:t>160</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行政强制</w:t>
            </w:r>
          </w:p>
        </w:tc>
        <w:tc>
          <w:tcPr>
            <w:tcW w:w="7305" w:type="dxa"/>
            <w:gridSpan w:val="3"/>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rPr>
          <w:trHeight w:val="225" w:hRule="atLeast"/>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第二十条第（八）项</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信息内容</w:t>
            </w:r>
          </w:p>
        </w:tc>
        <w:tc>
          <w:tcPr>
            <w:tcW w:w="7305" w:type="dxa"/>
            <w:gridSpan w:val="3"/>
            <w:tcBorders>
              <w:top w:val="nil"/>
              <w:left w:val="nil"/>
              <w:bottom w:val="single" w:color="auto" w:sz="6" w:space="0"/>
              <w:right w:val="single" w:color="000000"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本年收费金额（单位：万元）</w:t>
            </w:r>
          </w:p>
        </w:tc>
      </w:tr>
      <w:tr>
        <w:tblPrEx>
          <w:tblCellMar>
            <w:top w:w="15" w:type="dxa"/>
            <w:left w:w="15" w:type="dxa"/>
            <w:bottom w:w="15" w:type="dxa"/>
            <w:right w:w="15" w:type="dxa"/>
          </w:tblCellMar>
        </w:tblPrEx>
        <w:trPr>
          <w:trHeight w:val="225" w:hRule="atLeast"/>
        </w:trPr>
        <w:tc>
          <w:tcPr>
            <w:tcW w:w="2430" w:type="dxa"/>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行政事业性收费</w:t>
            </w:r>
          </w:p>
        </w:tc>
        <w:tc>
          <w:tcPr>
            <w:tcW w:w="7305" w:type="dxa"/>
            <w:gridSpan w:val="3"/>
            <w:tcBorders>
              <w:top w:val="nil"/>
              <w:left w:val="nil"/>
              <w:bottom w:val="single" w:color="auto" w:sz="6" w:space="0"/>
              <w:right w:val="single" w:color="000000"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bl>
    <w:p>
      <w:pPr>
        <w:pStyle w:val="4"/>
        <w:widowControl/>
        <w:spacing w:beforeAutospacing="0" w:afterAutospacing="0" w:line="600" w:lineRule="exact"/>
        <w:ind w:firstLine="640" w:firstLineChars="200"/>
        <w:rPr>
          <w:rFonts w:ascii="黑体" w:hAnsi="黑体" w:eastAsia="黑体" w:cs="仿宋"/>
          <w:color w:val="333333"/>
          <w:sz w:val="32"/>
          <w:szCs w:val="32"/>
        </w:rPr>
      </w:pPr>
      <w:r>
        <w:rPr>
          <w:rFonts w:hint="eastAsia" w:ascii="黑体" w:hAnsi="黑体" w:eastAsia="黑体" w:cs="仿宋"/>
          <w:color w:val="333333"/>
          <w:sz w:val="32"/>
          <w:szCs w:val="32"/>
        </w:rPr>
        <w:t>三、收到和处理政府信息公开申请情况</w:t>
      </w:r>
    </w:p>
    <w:tbl>
      <w:tblPr>
        <w:tblStyle w:val="5"/>
        <w:tblW w:w="9750" w:type="dxa"/>
        <w:tblInd w:w="0" w:type="dxa"/>
        <w:tblLayout w:type="autofit"/>
        <w:tblCellMar>
          <w:top w:w="15" w:type="dxa"/>
          <w:left w:w="15" w:type="dxa"/>
          <w:bottom w:w="15" w:type="dxa"/>
          <w:right w:w="15" w:type="dxa"/>
        </w:tblCellMar>
      </w:tblPr>
      <w:tblGrid>
        <w:gridCol w:w="779"/>
        <w:gridCol w:w="960"/>
        <w:gridCol w:w="3187"/>
        <w:gridCol w:w="689"/>
        <w:gridCol w:w="689"/>
        <w:gridCol w:w="689"/>
        <w:gridCol w:w="689"/>
        <w:gridCol w:w="689"/>
        <w:gridCol w:w="689"/>
        <w:gridCol w:w="690"/>
      </w:tblGrid>
      <w:tr>
        <w:tblPrEx>
          <w:tblCellMar>
            <w:top w:w="15" w:type="dxa"/>
            <w:left w:w="15" w:type="dxa"/>
            <w:bottom w:w="15" w:type="dxa"/>
            <w:right w:w="15" w:type="dxa"/>
          </w:tblCellMar>
        </w:tblPrEx>
        <w:tc>
          <w:tcPr>
            <w:tcW w:w="4920" w:type="dxa"/>
            <w:gridSpan w:val="3"/>
            <w:vMerge w:val="restart"/>
            <w:tcBorders>
              <w:top w:val="single" w:color="auto" w:sz="6" w:space="0"/>
              <w:left w:val="single" w:color="auto" w:sz="6" w:space="0"/>
              <w:bottom w:val="inset"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（本列数据的勾稽关系为：第一项加第二项之和，等于第三项加第四项之和）</w:t>
            </w:r>
          </w:p>
        </w:tc>
        <w:tc>
          <w:tcPr>
            <w:tcW w:w="4830" w:type="dxa"/>
            <w:gridSpan w:val="7"/>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申请人情况</w:t>
            </w:r>
          </w:p>
        </w:tc>
      </w:tr>
      <w:tr>
        <w:tblPrEx>
          <w:tblCellMar>
            <w:top w:w="15" w:type="dxa"/>
            <w:left w:w="15" w:type="dxa"/>
            <w:bottom w:w="15" w:type="dxa"/>
            <w:right w:w="15" w:type="dxa"/>
          </w:tblCellMar>
        </w:tblPrEx>
        <w:tc>
          <w:tcPr>
            <w:tcW w:w="4920" w:type="dxa"/>
            <w:gridSpan w:val="3"/>
            <w:vMerge w:val="continue"/>
            <w:tcBorders>
              <w:top w:val="single" w:color="auto" w:sz="6" w:space="0"/>
              <w:left w:val="single" w:color="auto" w:sz="6" w:space="0"/>
              <w:bottom w:val="inset"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90" w:type="dxa"/>
            <w:vMerge w:val="restart"/>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自然人</w:t>
            </w:r>
          </w:p>
        </w:tc>
        <w:tc>
          <w:tcPr>
            <w:tcW w:w="3450" w:type="dxa"/>
            <w:gridSpan w:val="5"/>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法人或其他组织</w:t>
            </w:r>
          </w:p>
        </w:tc>
        <w:tc>
          <w:tcPr>
            <w:tcW w:w="690" w:type="dxa"/>
            <w:vMerge w:val="restart"/>
            <w:tcBorders>
              <w:top w:val="single" w:color="auto" w:sz="6" w:space="0"/>
              <w:left w:val="nil"/>
              <w:bottom w:val="inset"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总计</w:t>
            </w:r>
          </w:p>
        </w:tc>
      </w:tr>
      <w:tr>
        <w:tblPrEx>
          <w:tblCellMar>
            <w:top w:w="15" w:type="dxa"/>
            <w:left w:w="15" w:type="dxa"/>
            <w:bottom w:w="15" w:type="dxa"/>
            <w:right w:w="15" w:type="dxa"/>
          </w:tblCellMar>
        </w:tblPrEx>
        <w:tc>
          <w:tcPr>
            <w:tcW w:w="4920" w:type="dxa"/>
            <w:gridSpan w:val="3"/>
            <w:vMerge w:val="continue"/>
            <w:tcBorders>
              <w:top w:val="single" w:color="auto" w:sz="6" w:space="0"/>
              <w:left w:val="single" w:color="auto" w:sz="6" w:space="0"/>
              <w:bottom w:val="inset"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90" w:type="dxa"/>
            <w:vMerge w:val="continue"/>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690"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商业</w:t>
            </w:r>
          </w:p>
          <w:p>
            <w:pPr>
              <w:pStyle w:val="4"/>
              <w:widowControl/>
              <w:spacing w:afterAutospacing="0" w:line="600" w:lineRule="atLeast"/>
              <w:rPr>
                <w:sz w:val="21"/>
                <w:szCs w:val="21"/>
              </w:rPr>
            </w:pPr>
            <w:r>
              <w:rPr>
                <w:rFonts w:ascii="仿宋_GB2312" w:eastAsia="仿宋_GB2312" w:cs="仿宋_GB2312"/>
              </w:rPr>
              <w:t>企业</w:t>
            </w:r>
          </w:p>
        </w:tc>
        <w:tc>
          <w:tcPr>
            <w:tcW w:w="690"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科研</w:t>
            </w:r>
          </w:p>
          <w:p>
            <w:pPr>
              <w:pStyle w:val="4"/>
              <w:widowControl/>
              <w:spacing w:afterAutospacing="0" w:line="600" w:lineRule="atLeast"/>
              <w:rPr>
                <w:sz w:val="21"/>
                <w:szCs w:val="21"/>
              </w:rPr>
            </w:pPr>
            <w:r>
              <w:rPr>
                <w:rFonts w:ascii="仿宋_GB2312" w:eastAsia="仿宋_GB2312" w:cs="仿宋_GB2312"/>
              </w:rPr>
              <w:t>机构</w:t>
            </w:r>
          </w:p>
        </w:tc>
        <w:tc>
          <w:tcPr>
            <w:tcW w:w="690"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社会公益组织</w:t>
            </w:r>
          </w:p>
        </w:tc>
        <w:tc>
          <w:tcPr>
            <w:tcW w:w="690"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法律服务机构</w:t>
            </w:r>
          </w:p>
        </w:tc>
        <w:tc>
          <w:tcPr>
            <w:tcW w:w="690"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其他</w:t>
            </w:r>
          </w:p>
        </w:tc>
        <w:tc>
          <w:tcPr>
            <w:tcW w:w="690" w:type="dxa"/>
            <w:vMerge w:val="continue"/>
            <w:tcBorders>
              <w:top w:val="single" w:color="auto" w:sz="6" w:space="0"/>
              <w:left w:val="nil"/>
              <w:bottom w:val="inset"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r>
      <w:tr>
        <w:tblPrEx>
          <w:tblCellMar>
            <w:top w:w="15" w:type="dxa"/>
            <w:left w:w="15" w:type="dxa"/>
            <w:bottom w:w="15" w:type="dxa"/>
            <w:right w:w="15" w:type="dxa"/>
          </w:tblCellMar>
        </w:tblPrEx>
        <w:tc>
          <w:tcPr>
            <w:tcW w:w="4920" w:type="dxa"/>
            <w:gridSpan w:val="3"/>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一、本年新收政府信息公开申请数量</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4920" w:type="dxa"/>
            <w:gridSpan w:val="3"/>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二、上年结转政府信息公开申请数量</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restart"/>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三、本年度办理结果</w:t>
            </w:r>
          </w:p>
        </w:tc>
        <w:tc>
          <w:tcPr>
            <w:tcW w:w="4155" w:type="dxa"/>
            <w:gridSpan w:val="2"/>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（一）予以公开</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4155" w:type="dxa"/>
            <w:gridSpan w:val="2"/>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（二）部分公开（区分处理的，只计这一情形，不计其他情形）</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restart"/>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（三）不予公开</w:t>
            </w: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1.属于国家秘密</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single" w:color="auto" w:sz="6" w:space="0"/>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2.其他法律行政法规禁止公开</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3.危及“三安全一稳定”</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4.保护第三方合法权益</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5.属于三类内部事务信息</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6.属于四类过程性信息</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7.属于行政执法案卷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8.属于行政查询事项</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restart"/>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（四）无法提供</w:t>
            </w: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1.本机关不掌握相关政府信息</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2.没有现成信息需要另行制作</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3.补正后申请内容仍不明确</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restart"/>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（五）不予处理</w:t>
            </w: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1.信访举报投诉类申请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2.重复申请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3.要求提供公开出版物</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tcPr>
          <w:p>
            <w:pPr>
              <w:pStyle w:val="4"/>
              <w:widowControl/>
              <w:spacing w:afterAutospacing="0" w:line="600" w:lineRule="atLeast"/>
              <w:rPr>
                <w:sz w:val="21"/>
                <w:szCs w:val="21"/>
              </w:rPr>
            </w:pPr>
            <w:r>
              <w:rPr>
                <w:rFonts w:ascii="仿宋_GB2312" w:eastAsia="仿宋_GB2312" w:cs="仿宋_GB2312"/>
              </w:rPr>
              <w:t>4.无正当理由大量反复申请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rPr>
          <w:trHeight w:val="525" w:hRule="atLeast"/>
        </w:trPr>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5.要求行政机关确认或重新出具已获取信息</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restart"/>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（六）其他处理</w:t>
            </w: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1.申请人无正当理由逾期不补正、行政机关不再处理其政府信息公开申请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2.申请人逾期未按收费通知要求缴纳费用、行政机关不再处理其政府信息公开申请</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960" w:type="dxa"/>
            <w:vMerge w:val="continue"/>
            <w:tcBorders>
              <w:top w:val="nil"/>
              <w:left w:val="nil"/>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3195"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3.其他</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780" w:type="dxa"/>
            <w:vMerge w:val="continue"/>
            <w:tcBorders>
              <w:top w:val="nil"/>
              <w:left w:val="single" w:color="auto" w:sz="6" w:space="0"/>
              <w:bottom w:val="inset" w:color="auto" w:sz="6" w:space="0"/>
              <w:right w:val="single" w:color="auto" w:sz="6" w:space="0"/>
            </w:tcBorders>
            <w:shd w:val="clear" w:color="auto" w:fill="auto"/>
            <w:tcMar>
              <w:top w:w="0" w:type="dxa"/>
              <w:left w:w="45" w:type="dxa"/>
              <w:bottom w:w="0" w:type="dxa"/>
              <w:right w:w="45" w:type="dxa"/>
            </w:tcMar>
            <w:vAlign w:val="center"/>
          </w:tcPr>
          <w:p>
            <w:pPr>
              <w:rPr>
                <w:rFonts w:ascii="宋体"/>
                <w:sz w:val="24"/>
              </w:rPr>
            </w:pPr>
          </w:p>
        </w:tc>
        <w:tc>
          <w:tcPr>
            <w:tcW w:w="4155" w:type="dxa"/>
            <w:gridSpan w:val="2"/>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（七）总计</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r>
        <w:tblPrEx>
          <w:tblCellMar>
            <w:top w:w="15" w:type="dxa"/>
            <w:left w:w="15" w:type="dxa"/>
            <w:bottom w:w="15" w:type="dxa"/>
            <w:right w:w="15" w:type="dxa"/>
          </w:tblCellMar>
        </w:tblPrEx>
        <w:tc>
          <w:tcPr>
            <w:tcW w:w="4920" w:type="dxa"/>
            <w:gridSpan w:val="3"/>
            <w:tcBorders>
              <w:top w:val="nil"/>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四、结转下年度继续办理</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90" w:type="dxa"/>
            <w:tcBorders>
              <w:top w:val="nil"/>
              <w:left w:val="nil"/>
              <w:bottom w:val="single" w:color="auto" w:sz="6" w:space="0"/>
              <w:right w:val="single" w:color="auto" w:sz="6" w:space="0"/>
            </w:tcBorders>
            <w:shd w:val="clear" w:color="auto" w:fill="auto"/>
            <w:tcMar>
              <w:top w:w="0" w:type="dxa"/>
              <w:left w:w="45" w:type="dxa"/>
              <w:bottom w:w="0" w:type="dxa"/>
              <w:right w:w="45" w:type="dxa"/>
            </w:tcMar>
            <w:vAlign w:val="center"/>
          </w:tcPr>
          <w:p>
            <w:pPr>
              <w:pStyle w:val="4"/>
              <w:widowControl/>
              <w:spacing w:afterAutospacing="0" w:line="600" w:lineRule="atLeast"/>
              <w:rPr>
                <w:sz w:val="21"/>
                <w:szCs w:val="21"/>
              </w:rPr>
            </w:pPr>
            <w:r>
              <w:rPr>
                <w:rFonts w:ascii="仿宋_GB2312" w:eastAsia="仿宋_GB2312" w:cs="仿宋_GB2312"/>
              </w:rPr>
              <w:t>0</w:t>
            </w:r>
          </w:p>
        </w:tc>
      </w:tr>
    </w:tbl>
    <w:p>
      <w:pPr>
        <w:pStyle w:val="4"/>
        <w:widowControl/>
        <w:spacing w:beforeAutospacing="0" w:afterAutospacing="0" w:line="600" w:lineRule="exact"/>
        <w:ind w:firstLine="640" w:firstLineChars="200"/>
        <w:rPr>
          <w:rFonts w:ascii="黑体" w:hAnsi="黑体" w:eastAsia="黑体" w:cs="仿宋"/>
          <w:color w:val="333333"/>
          <w:sz w:val="32"/>
          <w:szCs w:val="32"/>
        </w:rPr>
      </w:pPr>
      <w:r>
        <w:rPr>
          <w:rFonts w:hint="eastAsia" w:ascii="黑体" w:hAnsi="黑体" w:eastAsia="黑体" w:cs="仿宋"/>
          <w:color w:val="333333"/>
          <w:sz w:val="32"/>
          <w:szCs w:val="32"/>
        </w:rPr>
        <w:t>四、政府信息公开行政复议、行政诉讼情况</w:t>
      </w:r>
    </w:p>
    <w:tbl>
      <w:tblPr>
        <w:tblStyle w:val="5"/>
        <w:tblW w:w="9750" w:type="dxa"/>
        <w:tblInd w:w="0" w:type="dxa"/>
        <w:tblLayout w:type="autofit"/>
        <w:tblCellMar>
          <w:top w:w="15" w:type="dxa"/>
          <w:left w:w="15" w:type="dxa"/>
          <w:bottom w:w="15" w:type="dxa"/>
          <w:right w:w="15" w:type="dxa"/>
        </w:tblCellMar>
      </w:tblPr>
      <w:tblGrid>
        <w:gridCol w:w="650"/>
        <w:gridCol w:w="650"/>
        <w:gridCol w:w="650"/>
        <w:gridCol w:w="650"/>
        <w:gridCol w:w="650"/>
        <w:gridCol w:w="650"/>
        <w:gridCol w:w="650"/>
        <w:gridCol w:w="650"/>
        <w:gridCol w:w="650"/>
        <w:gridCol w:w="650"/>
        <w:gridCol w:w="650"/>
        <w:gridCol w:w="650"/>
        <w:gridCol w:w="650"/>
        <w:gridCol w:w="650"/>
        <w:gridCol w:w="650"/>
      </w:tblGrid>
      <w:tr>
        <w:tc>
          <w:tcPr>
            <w:tcW w:w="321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行政复议</w:t>
            </w:r>
          </w:p>
        </w:tc>
        <w:tc>
          <w:tcPr>
            <w:tcW w:w="6435" w:type="dxa"/>
            <w:gridSpan w:val="10"/>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行政诉讼</w:t>
            </w:r>
          </w:p>
        </w:tc>
      </w:tr>
      <w:tr>
        <w:tblPrEx>
          <w:tblCellMar>
            <w:top w:w="15" w:type="dxa"/>
            <w:left w:w="15" w:type="dxa"/>
            <w:bottom w:w="15" w:type="dxa"/>
            <w:right w:w="15" w:type="dxa"/>
          </w:tblCellMar>
        </w:tblPrEx>
        <w:tc>
          <w:tcPr>
            <w:tcW w:w="645" w:type="dxa"/>
            <w:vMerge w:val="restart"/>
            <w:tcBorders>
              <w:top w:val="nil"/>
              <w:left w:val="single" w:color="auto" w:sz="6" w:space="0"/>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结果维持</w:t>
            </w:r>
          </w:p>
        </w:tc>
        <w:tc>
          <w:tcPr>
            <w:tcW w:w="645" w:type="dxa"/>
            <w:vMerge w:val="restart"/>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w:t>
            </w:r>
          </w:p>
          <w:p>
            <w:pPr>
              <w:pStyle w:val="4"/>
              <w:widowControl/>
              <w:spacing w:beforeAutospacing="0" w:after="150" w:afterAutospacing="0" w:line="450" w:lineRule="atLeast"/>
            </w:pPr>
            <w:r>
              <w:rPr>
                <w:rFonts w:ascii="仿宋_GB2312" w:eastAsia="仿宋_GB2312" w:cs="仿宋_GB2312"/>
              </w:rPr>
              <w:t>纠正</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其他</w:t>
            </w:r>
          </w:p>
          <w:p>
            <w:pPr>
              <w:pStyle w:val="4"/>
              <w:widowControl/>
              <w:spacing w:beforeAutospacing="0" w:after="150" w:afterAutospacing="0" w:line="450" w:lineRule="atLeast"/>
            </w:pPr>
            <w:r>
              <w:rPr>
                <w:rFonts w:ascii="仿宋_GB2312" w:eastAsia="仿宋_GB2312" w:cs="仿宋_GB2312"/>
              </w:rPr>
              <w:t>结果</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尚未</w:t>
            </w:r>
          </w:p>
          <w:p>
            <w:pPr>
              <w:pStyle w:val="4"/>
              <w:widowControl/>
              <w:spacing w:beforeAutospacing="0" w:after="150" w:afterAutospacing="0" w:line="450" w:lineRule="atLeast"/>
            </w:pPr>
            <w:r>
              <w:rPr>
                <w:rFonts w:ascii="仿宋_GB2312" w:eastAsia="仿宋_GB2312" w:cs="仿宋_GB2312"/>
              </w:rPr>
              <w:t>审结</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总计</w:t>
            </w:r>
          </w:p>
        </w:tc>
        <w:tc>
          <w:tcPr>
            <w:tcW w:w="3210" w:type="dxa"/>
            <w:gridSpan w:val="5"/>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未经复议直接起诉</w:t>
            </w:r>
          </w:p>
        </w:tc>
        <w:tc>
          <w:tcPr>
            <w:tcW w:w="3210" w:type="dxa"/>
            <w:gridSpan w:val="5"/>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复议后起诉</w:t>
            </w:r>
          </w:p>
        </w:tc>
      </w:tr>
      <w:tr>
        <w:tc>
          <w:tcPr>
            <w:tcW w:w="645" w:type="dxa"/>
            <w:vMerge w:val="continue"/>
            <w:tcBorders>
              <w:top w:val="nil"/>
              <w:left w:val="single" w:color="auto" w:sz="6" w:space="0"/>
              <w:bottom w:val="single"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45" w:type="dxa"/>
            <w:vMerge w:val="continue"/>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rPr>
                <w:rFonts w:ascii="宋体"/>
                <w:sz w:val="24"/>
              </w:rPr>
            </w:pP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w:t>
            </w:r>
          </w:p>
          <w:p>
            <w:pPr>
              <w:pStyle w:val="4"/>
              <w:widowControl/>
              <w:spacing w:beforeAutospacing="0" w:after="150" w:afterAutospacing="0" w:line="450" w:lineRule="atLeast"/>
            </w:pPr>
            <w:r>
              <w:rPr>
                <w:rFonts w:ascii="仿宋_GB2312" w:eastAsia="仿宋_GB2312" w:cs="仿宋_GB2312"/>
              </w:rPr>
              <w:t>维持</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w:t>
            </w:r>
          </w:p>
          <w:p>
            <w:pPr>
              <w:pStyle w:val="4"/>
              <w:widowControl/>
              <w:spacing w:beforeAutospacing="0" w:after="150" w:afterAutospacing="0" w:line="450" w:lineRule="atLeast"/>
            </w:pPr>
            <w:r>
              <w:rPr>
                <w:rFonts w:ascii="仿宋_GB2312" w:eastAsia="仿宋_GB2312" w:cs="仿宋_GB2312"/>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其他</w:t>
            </w:r>
          </w:p>
          <w:p>
            <w:pPr>
              <w:pStyle w:val="4"/>
              <w:widowControl/>
              <w:spacing w:beforeAutospacing="0" w:after="150" w:afterAutospacing="0" w:line="450" w:lineRule="atLeast"/>
            </w:pPr>
            <w:r>
              <w:rPr>
                <w:rFonts w:ascii="仿宋_GB2312" w:eastAsia="仿宋_GB2312" w:cs="仿宋_GB2312"/>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尚未</w:t>
            </w:r>
          </w:p>
          <w:p>
            <w:pPr>
              <w:pStyle w:val="4"/>
              <w:widowControl/>
              <w:spacing w:beforeAutospacing="0" w:after="150" w:afterAutospacing="0" w:line="450" w:lineRule="atLeast"/>
            </w:pPr>
            <w:r>
              <w:rPr>
                <w:rFonts w:ascii="仿宋_GB2312" w:eastAsia="仿宋_GB2312" w:cs="仿宋_GB2312"/>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总计</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w:t>
            </w:r>
          </w:p>
          <w:p>
            <w:pPr>
              <w:pStyle w:val="4"/>
              <w:widowControl/>
              <w:spacing w:beforeAutospacing="0" w:after="150" w:afterAutospacing="0" w:line="450" w:lineRule="atLeast"/>
            </w:pPr>
            <w:r>
              <w:rPr>
                <w:rFonts w:ascii="仿宋_GB2312" w:eastAsia="仿宋_GB2312" w:cs="仿宋_GB2312"/>
              </w:rPr>
              <w:t>维持</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结果</w:t>
            </w:r>
          </w:p>
          <w:p>
            <w:pPr>
              <w:pStyle w:val="4"/>
              <w:widowControl/>
              <w:spacing w:beforeAutospacing="0" w:after="150" w:afterAutospacing="0" w:line="450" w:lineRule="atLeast"/>
            </w:pPr>
            <w:r>
              <w:rPr>
                <w:rFonts w:ascii="仿宋_GB2312" w:eastAsia="仿宋_GB2312" w:cs="仿宋_GB2312"/>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其他</w:t>
            </w:r>
          </w:p>
          <w:p>
            <w:pPr>
              <w:pStyle w:val="4"/>
              <w:widowControl/>
              <w:spacing w:beforeAutospacing="0" w:after="150" w:afterAutospacing="0" w:line="450" w:lineRule="atLeast"/>
            </w:pPr>
            <w:r>
              <w:rPr>
                <w:rFonts w:ascii="仿宋_GB2312" w:eastAsia="仿宋_GB2312" w:cs="仿宋_GB2312"/>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尚未</w:t>
            </w:r>
          </w:p>
          <w:p>
            <w:pPr>
              <w:pStyle w:val="4"/>
              <w:widowControl/>
              <w:spacing w:beforeAutospacing="0" w:after="150" w:afterAutospacing="0" w:line="450" w:lineRule="atLeast"/>
            </w:pPr>
            <w:r>
              <w:rPr>
                <w:rFonts w:ascii="仿宋_GB2312" w:eastAsia="仿宋_GB2312" w:cs="仿宋_GB2312"/>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总计</w:t>
            </w:r>
          </w:p>
        </w:tc>
      </w:tr>
      <w:tr>
        <w:trPr>
          <w:trHeight w:val="450" w:hRule="atLeast"/>
        </w:trPr>
        <w:tc>
          <w:tcPr>
            <w:tcW w:w="645" w:type="dxa"/>
            <w:tcBorders>
              <w:top w:val="nil"/>
              <w:left w:val="single" w:color="auto" w:sz="6" w:space="0"/>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c>
          <w:tcPr>
            <w:tcW w:w="645" w:type="dxa"/>
            <w:tcBorders>
              <w:top w:val="nil"/>
              <w:left w:val="nil"/>
              <w:bottom w:val="single" w:color="auto" w:sz="6" w:space="0"/>
              <w:right w:val="single" w:color="auto" w:sz="6" w:space="0"/>
            </w:tcBorders>
            <w:shd w:val="clear" w:color="auto" w:fill="auto"/>
            <w:tcMar>
              <w:top w:w="0" w:type="dxa"/>
              <w:left w:w="75" w:type="dxa"/>
              <w:bottom w:w="0" w:type="dxa"/>
              <w:right w:w="75" w:type="dxa"/>
            </w:tcMar>
            <w:vAlign w:val="center"/>
          </w:tcPr>
          <w:p>
            <w:pPr>
              <w:pStyle w:val="4"/>
              <w:widowControl/>
              <w:spacing w:afterAutospacing="0" w:line="600" w:lineRule="atLeast"/>
              <w:rPr>
                <w:sz w:val="21"/>
                <w:szCs w:val="21"/>
              </w:rPr>
            </w:pPr>
            <w:r>
              <w:rPr>
                <w:rFonts w:ascii="仿宋_GB2312" w:eastAsia="仿宋_GB2312" w:cs="仿宋_GB2312"/>
              </w:rPr>
              <w:t>0</w:t>
            </w:r>
          </w:p>
        </w:tc>
      </w:tr>
    </w:tbl>
    <w:p>
      <w:pPr>
        <w:pStyle w:val="4"/>
        <w:widowControl/>
        <w:spacing w:beforeAutospacing="0" w:afterAutospacing="0" w:line="560" w:lineRule="exact"/>
        <w:ind w:firstLine="640" w:firstLineChars="200"/>
        <w:rPr>
          <w:rFonts w:ascii="黑体" w:hAnsi="黑体" w:eastAsia="黑体" w:cs="仿宋"/>
          <w:color w:val="333333"/>
          <w:sz w:val="32"/>
          <w:szCs w:val="32"/>
        </w:rPr>
      </w:pPr>
      <w:r>
        <w:rPr>
          <w:rFonts w:hint="eastAsia" w:ascii="黑体" w:hAnsi="黑体" w:eastAsia="黑体" w:cs="仿宋"/>
          <w:color w:val="333333"/>
          <w:sz w:val="32"/>
          <w:szCs w:val="32"/>
        </w:rPr>
        <w:t>五、存在的主要问题及改进情况</w:t>
      </w:r>
    </w:p>
    <w:p>
      <w:pPr>
        <w:pStyle w:val="4"/>
        <w:widowControl/>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2022年，我局政府信息公开工作虽然取得了一定成绩，但与公众需求还有差距。一是</w:t>
      </w:r>
      <w:r>
        <w:rPr>
          <w:rFonts w:hint="eastAsia" w:ascii="仿宋_GB2312" w:eastAsia="仿宋_GB2312"/>
          <w:sz w:val="32"/>
          <w:szCs w:val="32"/>
          <w:lang w:eastAsia="zh-CN"/>
        </w:rPr>
        <w:t>报送</w:t>
      </w:r>
      <w:r>
        <w:rPr>
          <w:rFonts w:hint="eastAsia" w:ascii="仿宋_GB2312" w:eastAsia="仿宋_GB2312"/>
          <w:sz w:val="32"/>
          <w:szCs w:val="32"/>
        </w:rPr>
        <w:t xml:space="preserve">信息不规范。部分机关股室提供的信息存在格式不规范、内容不全等问题。二是主动公开的意识有待进一步加强。部分机关股室因工作繁忙、工作人手少等原因，导致政务信息公开有滞后性。 </w:t>
      </w:r>
    </w:p>
    <w:p>
      <w:pPr>
        <w:pStyle w:val="4"/>
        <w:widowControl/>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下一步，我局将按照要求不断改进和提高，重点抓好以下几项工作：一是规范政务公开工作程序。进一步明确工作责任，加强检查督促，落实到日常工作中，严格按照规范程序公开政府信息，严格落实政务公开网站的发布审查，确保信息及时、准确、全面的公开。二是加强重点领域公开。加大减税降费、营商环境“一号改革工程”等信息公开力度。充分利用政府网站，做好重点领域和公众关注热点问题的公开，及时回应社会关切，引导正确舆论。三是严格信息公开审查。进一步细化各股室公开事项，严格按照“三审三校”制度，审查公开内容，提供信息的股室负责信息的真实性、准确性，努力提高信息公开工作的成效。</w:t>
      </w:r>
    </w:p>
    <w:p>
      <w:pPr>
        <w:pStyle w:val="4"/>
        <w:widowControl/>
        <w:spacing w:beforeAutospacing="0" w:afterAutospacing="0" w:line="560" w:lineRule="exact"/>
        <w:ind w:firstLine="640" w:firstLineChars="200"/>
        <w:jc w:val="both"/>
        <w:rPr>
          <w:rFonts w:ascii="黑体" w:hAnsi="黑体" w:eastAsia="黑体" w:cs="仿宋"/>
          <w:color w:val="333333"/>
          <w:sz w:val="32"/>
          <w:szCs w:val="32"/>
        </w:rPr>
      </w:pPr>
      <w:r>
        <w:rPr>
          <w:rFonts w:hint="eastAsia" w:ascii="黑体" w:hAnsi="黑体" w:eastAsia="黑体" w:cs="仿宋"/>
          <w:color w:val="333333"/>
          <w:sz w:val="32"/>
          <w:szCs w:val="32"/>
        </w:rPr>
        <w:t>六、其他需要报告的事项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2022年度，本</w:t>
      </w:r>
      <w:r>
        <w:rPr>
          <w:rFonts w:hint="eastAsia" w:ascii="仿宋_GB2312" w:eastAsia="仿宋_GB2312"/>
          <w:sz w:val="32"/>
          <w:szCs w:val="32"/>
          <w:lang w:eastAsia="zh-CN"/>
        </w:rPr>
        <w:t>机关</w:t>
      </w:r>
      <w:r>
        <w:rPr>
          <w:rFonts w:hint="eastAsia" w:ascii="仿宋_GB2312" w:eastAsia="仿宋_GB2312"/>
          <w:sz w:val="32"/>
          <w:szCs w:val="32"/>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3264"/>
    <w:rsid w:val="0035233C"/>
    <w:rsid w:val="004B3264"/>
    <w:rsid w:val="005F7540"/>
    <w:rsid w:val="00786946"/>
    <w:rsid w:val="00A8312E"/>
    <w:rsid w:val="01A411DE"/>
    <w:rsid w:val="024A54EE"/>
    <w:rsid w:val="05F927F1"/>
    <w:rsid w:val="08237769"/>
    <w:rsid w:val="2352193A"/>
    <w:rsid w:val="2F383679"/>
    <w:rsid w:val="3384717C"/>
    <w:rsid w:val="46D74C53"/>
    <w:rsid w:val="57FE6CF6"/>
    <w:rsid w:val="74B47A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470</Words>
  <Characters>2681</Characters>
  <Lines>22</Lines>
  <Paragraphs>6</Paragraphs>
  <TotalTime>12</TotalTime>
  <ScaleCrop>false</ScaleCrop>
  <LinksUpToDate>false</LinksUpToDate>
  <CharactersWithSpaces>3145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2023-01-12T07:47:00Z</dcterms:created>
  <dc:creator>Administrator</dc:creator>
  <cp:lastModifiedBy>Administrator</cp:lastModifiedBy>
  <dcterms:modified xsi:type="dcterms:W3CDTF">2023-04-11T07:55:49Z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