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cs="方正小标宋简体"/>
          <w:sz w:val="44"/>
          <w:szCs w:val="44"/>
        </w:rPr>
      </w:pPr>
      <w:r>
        <w:rPr>
          <w:rFonts w:ascii="方正小标宋简体" w:eastAsia="方正小标宋简体" w:cs="方正小标宋简体" w:hint="eastAsia"/>
          <w:sz w:val="44"/>
          <w:szCs w:val="44"/>
        </w:rPr>
        <w:t>袁州区</w:t>
      </w:r>
      <w:r>
        <w:rPr>
          <w:rFonts w:ascii="方正小标宋简体" w:eastAsia="方正小标宋简体" w:cs="方正小标宋简体"/>
          <w:sz w:val="44"/>
          <w:szCs w:val="44"/>
        </w:rPr>
        <w:t>政府办</w:t>
      </w:r>
      <w:r>
        <w:rPr>
          <w:rFonts w:ascii="方正小标宋简体" w:eastAsia="方正小标宋简体" w:cs="方正小标宋简体" w:hint="eastAsia"/>
          <w:sz w:val="44"/>
          <w:szCs w:val="44"/>
        </w:rPr>
        <w:t>202</w:t>
      </w:r>
      <w:r>
        <w:rPr>
          <w:rFonts w:ascii="方正小标宋简体" w:eastAsia="方正小标宋简体" w:cs="方正小标宋简体"/>
          <w:sz w:val="44"/>
          <w:szCs w:val="44"/>
        </w:rPr>
        <w:t>2</w:t>
      </w:r>
      <w:r>
        <w:rPr>
          <w:rFonts w:ascii="方正小标宋简体" w:eastAsia="方正小标宋简体" w:cs="方正小标宋简体" w:hint="eastAsia"/>
          <w:sz w:val="44"/>
          <w:szCs w:val="44"/>
        </w:rPr>
        <w:t>年政府信息公开工作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cs="方正小标宋简体"/>
          <w:sz w:val="44"/>
          <w:szCs w:val="44"/>
        </w:rPr>
      </w:pPr>
      <w:r>
        <w:rPr>
          <w:rFonts w:ascii="方正小标宋简体" w:eastAsia="方正小标宋简体" w:cs="方正小标宋简体" w:hint="eastAsia"/>
          <w:sz w:val="44"/>
          <w:szCs w:val="44"/>
        </w:rPr>
        <w:t>年度报告</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sz w:val="32"/>
          <w:szCs w:val="32"/>
        </w:rPr>
      </w:pPr>
      <w:r>
        <w:rPr>
          <w:rFonts w:ascii="仿宋_GB2312" w:eastAsia="仿宋_GB2312" w:cs="仿宋_GB2312" w:hint="eastAsia"/>
          <w:sz w:val="32"/>
          <w:szCs w:val="32"/>
        </w:rPr>
        <w:t>本年度报告根据《中华人民共和国政府信息公开条例》（以下简称《条例》）有关规定，按照国务院办公厅政府信息与政务公开办公室印发《关于做好年度报告编制发布工作的通知》（国办公开办函〔2021〕30号）要求</w:t>
      </w:r>
      <w:r>
        <w:rPr>
          <w:rFonts w:ascii="仿宋_GB2312" w:eastAsia="仿宋_GB2312" w:cs="仿宋_GB2312"/>
          <w:sz w:val="32"/>
          <w:szCs w:val="32"/>
        </w:rPr>
        <w:t>编制</w:t>
      </w:r>
      <w:r>
        <w:rPr>
          <w:rFonts w:ascii="仿宋_GB2312" w:eastAsia="仿宋_GB2312" w:cs="仿宋_GB2312" w:hint="eastAsia"/>
          <w:sz w:val="32"/>
          <w:szCs w:val="32"/>
        </w:rPr>
        <w:t>，全文包括总体情况、主动公开政府信息情况、收到和处理政府信息公开申请情况、因政府信息公开工作被申请行政复议和提起行政诉讼情况、政府信息公开存在的主要问题及改进情况、其他需要报告的事项六部分，并附相关指标统计附表等。本年度报告所列数据统计期限自202</w:t>
      </w:r>
      <w:r>
        <w:rPr>
          <w:rFonts w:ascii="仿宋_GB2312" w:eastAsia="仿宋_GB2312" w:cs="仿宋_GB2312"/>
          <w:sz w:val="32"/>
          <w:szCs w:val="32"/>
        </w:rPr>
        <w:t>2</w:t>
      </w:r>
      <w:r>
        <w:rPr>
          <w:rFonts w:ascii="仿宋_GB2312" w:eastAsia="仿宋_GB2312" w:cs="仿宋_GB2312" w:hint="eastAsia"/>
          <w:sz w:val="32"/>
          <w:szCs w:val="32"/>
        </w:rPr>
        <w:t>年1月1日起到202</w:t>
      </w:r>
      <w:r>
        <w:rPr>
          <w:rFonts w:ascii="仿宋_GB2312" w:eastAsia="仿宋_GB2312" w:cs="仿宋_GB2312"/>
          <w:sz w:val="32"/>
          <w:szCs w:val="32"/>
        </w:rPr>
        <w:t>2</w:t>
      </w:r>
      <w:r>
        <w:rPr>
          <w:rFonts w:ascii="仿宋_GB2312" w:eastAsia="仿宋_GB2312" w:cs="仿宋_GB2312" w:hint="eastAsia"/>
          <w:sz w:val="32"/>
          <w:szCs w:val="32"/>
        </w:rPr>
        <w:t>年12月31日止。本报告电子版可在袁州区政府门户网站（www.yzq.gov.cn）下载。如对本报告有疑问，请与我区人民政府办公室政务公开股联系（地址：宜春市袁山东路198号袁州区行政中心，邮编：336000，联系电话：0795-3222180，电子邮箱：yzqzwgk@126.com）。</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黑体" w:eastAsia="黑体" w:cs="黑体"/>
          <w:sz w:val="32"/>
          <w:szCs w:val="32"/>
        </w:rPr>
      </w:pPr>
      <w:r>
        <w:rPr>
          <w:rFonts w:ascii="黑体" w:eastAsia="黑体" w:cs="黑体" w:hint="eastAsia"/>
          <w:sz w:val="32"/>
          <w:szCs w:val="32"/>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sz w:val="32"/>
          <w:szCs w:val="32"/>
        </w:rPr>
      </w:pPr>
      <w:r>
        <w:rPr>
          <w:rFonts w:ascii="仿宋_GB2312" w:eastAsia="仿宋_GB2312" w:cs="仿宋_GB2312" w:hint="eastAsia"/>
          <w:sz w:val="32"/>
          <w:szCs w:val="32"/>
        </w:rPr>
        <w:t>202</w:t>
      </w:r>
      <w:r>
        <w:rPr>
          <w:rFonts w:ascii="仿宋_GB2312" w:eastAsia="仿宋_GB2312" w:cs="仿宋_GB2312"/>
          <w:sz w:val="32"/>
          <w:szCs w:val="32"/>
        </w:rPr>
        <w:t>2</w:t>
      </w:r>
      <w:r>
        <w:rPr>
          <w:rFonts w:ascii="仿宋_GB2312" w:eastAsia="仿宋_GB2312" w:cs="仿宋_GB2312" w:hint="eastAsia"/>
          <w:sz w:val="32"/>
          <w:szCs w:val="32"/>
        </w:rPr>
        <w:t>年，</w:t>
      </w:r>
      <w:r>
        <w:rPr>
          <w:rFonts w:ascii="仿宋_GB2312" w:eastAsia="仿宋_GB2312" w:cs="仿宋_GB2312"/>
          <w:sz w:val="32"/>
          <w:szCs w:val="32"/>
        </w:rPr>
        <w:t>我办深入贯彻落实党中央、国务院关于全面推进政务公开工作的各项决策部署，全面落实《条例》以及《规定》，着力提高政务公开标准化、规范化水平。</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楷体_GB2312" w:eastAsia="楷体_GB2312" w:cs="楷体_GB2312"/>
          <w:sz w:val="32"/>
          <w:szCs w:val="32"/>
        </w:rPr>
      </w:pPr>
      <w:r>
        <w:rPr>
          <w:rFonts w:ascii="楷体_GB2312" w:eastAsia="楷体_GB2312" w:cs="楷体_GB2312" w:hint="eastAsia"/>
          <w:sz w:val="32"/>
          <w:szCs w:val="32"/>
        </w:rPr>
        <w:t>（一）主动公开方面</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sz w:val="32"/>
          <w:szCs w:val="32"/>
        </w:rPr>
      </w:pPr>
      <w:r>
        <w:rPr>
          <w:rFonts w:ascii="仿宋_GB2312" w:eastAsia="仿宋_GB2312" w:cs="仿宋_GB2312"/>
          <w:sz w:val="32"/>
          <w:szCs w:val="32"/>
        </w:rPr>
        <w:t>我办名义制发公文77件，主动公开公文40件，主动公开率为51.95%，比2021年提高3.12%。集中发布本区2022年度人大代表建议、议案和政协提案办理情况。规范做好决策公开，优化重大决策栏目架构，年内共2次邀请公众代表出席区政府常务会议参与政策制定讨论。精准政策解读，采取H5、主要负责人解读等多种方式丰富解读。</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sz w:val="32"/>
          <w:szCs w:val="32"/>
        </w:rPr>
      </w:pPr>
      <w:r>
        <w:rPr>
          <w:rFonts w:ascii="仿宋_GB2312" w:eastAsia="仿宋_GB2312" w:cs="仿宋_GB2312"/>
          <w:sz w:val="32"/>
          <w:szCs w:val="32"/>
        </w:rPr>
        <w:t>制定</w:t>
      </w:r>
      <w:r>
        <w:rPr>
          <w:rFonts w:ascii="仿宋_GB2312" w:eastAsia="仿宋_GB2312" w:cs="仿宋_GB2312"/>
          <w:sz w:val="32"/>
          <w:szCs w:val="32"/>
          <w:lang w:eastAsia="zh-CN"/>
        </w:rPr>
        <w:t>行政</w:t>
      </w:r>
      <w:r>
        <w:rPr>
          <w:rFonts w:ascii="仿宋_GB2312" w:eastAsia="仿宋_GB2312" w:cs="仿宋_GB2312" w:hint="eastAsia"/>
          <w:sz w:val="32"/>
          <w:szCs w:val="32"/>
        </w:rPr>
        <w:t>规范性文件</w:t>
      </w:r>
      <w:r>
        <w:rPr>
          <w:rFonts w:ascii="仿宋_GB2312" w:eastAsia="仿宋_GB2312" w:cs="仿宋_GB2312"/>
          <w:sz w:val="32"/>
          <w:szCs w:val="32"/>
        </w:rPr>
        <w:t>《袁州区养老服务健康发展工作实施方案》《关于推进旅游业高质量发展的实施意见》2</w:t>
      </w:r>
      <w:r>
        <w:rPr>
          <w:rFonts w:ascii="仿宋_GB2312" w:eastAsia="仿宋_GB2312" w:cs="仿宋_GB2312" w:hint="eastAsia"/>
          <w:sz w:val="32"/>
          <w:szCs w:val="32"/>
        </w:rPr>
        <w:t>件</w:t>
      </w:r>
      <w:r>
        <w:rPr>
          <w:rFonts w:ascii="仿宋_GB2312" w:eastAsia="仿宋_GB2312" w:cs="仿宋_GB2312" w:hint="eastAsia"/>
          <w:sz w:val="32"/>
          <w:szCs w:val="32"/>
          <w:lang w:eastAsia="zh-CN"/>
        </w:rPr>
        <w:t>，</w:t>
      </w:r>
      <w:r>
        <w:rPr>
          <w:rFonts w:ascii="仿宋_GB2312" w:eastAsia="仿宋_GB2312" w:cs="仿宋_GB2312" w:hint="eastAsia"/>
          <w:sz w:val="32"/>
          <w:szCs w:val="32"/>
          <w:lang w:val="en-US" w:eastAsia="zh-CN"/>
        </w:rPr>
        <w:t>废止</w:t>
      </w:r>
      <w:r>
        <w:rPr>
          <w:rFonts w:ascii="仿宋_GB2312" w:eastAsia="仿宋_GB2312" w:cs="仿宋_GB2312"/>
          <w:sz w:val="32"/>
          <w:szCs w:val="32"/>
          <w:lang w:val="en-US" w:eastAsia="zh-CN"/>
        </w:rPr>
        <w:t>2</w:t>
      </w:r>
      <w:r>
        <w:rPr>
          <w:rFonts w:ascii="仿宋_GB2312" w:eastAsia="仿宋_GB2312" w:cs="仿宋_GB2312" w:hint="eastAsia"/>
          <w:sz w:val="32"/>
          <w:szCs w:val="32"/>
          <w:lang w:val="en-US" w:eastAsia="zh-CN"/>
        </w:rPr>
        <w:t>件，现行有效</w:t>
      </w:r>
      <w:r>
        <w:rPr>
          <w:rFonts w:ascii="仿宋_GB2312" w:eastAsia="仿宋_GB2312" w:cs="仿宋_GB2312"/>
          <w:sz w:val="32"/>
          <w:szCs w:val="32"/>
          <w:lang w:val="en-US" w:eastAsia="zh-CN"/>
        </w:rPr>
        <w:t>22</w:t>
      </w:r>
      <w:r>
        <w:rPr>
          <w:rFonts w:ascii="仿宋_GB2312" w:eastAsia="仿宋_GB2312" w:cs="仿宋_GB2312" w:hint="eastAsia"/>
          <w:sz w:val="32"/>
          <w:szCs w:val="32"/>
          <w:lang w:val="en-US" w:eastAsia="zh-CN"/>
        </w:rPr>
        <w:t>件</w:t>
      </w:r>
      <w:r>
        <w:rPr>
          <w:rFonts w:ascii="仿宋_GB2312" w:eastAsia="仿宋_GB2312" w:cs="仿宋_GB2312" w:hint="eastAsia"/>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楷体_GB2312" w:eastAsia="楷体_GB2312" w:cs="楷体_GB2312"/>
          <w:sz w:val="32"/>
          <w:szCs w:val="32"/>
        </w:rPr>
      </w:pPr>
      <w:r>
        <w:rPr>
          <w:rFonts w:ascii="楷体_GB2312" w:eastAsia="楷体_GB2312" w:cs="楷体_GB2312" w:hint="eastAsia"/>
          <w:sz w:val="32"/>
          <w:szCs w:val="32"/>
        </w:rPr>
        <w:t>（二）依申请公开方面</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sz w:val="32"/>
          <w:szCs w:val="32"/>
        </w:rPr>
      </w:pPr>
      <w:r>
        <w:rPr>
          <w:rFonts w:ascii="仿宋_GB2312" w:eastAsia="仿宋_GB2312" w:cs="仿宋_GB2312" w:hint="eastAsia"/>
          <w:sz w:val="32"/>
          <w:szCs w:val="32"/>
        </w:rPr>
        <w:t>202</w:t>
      </w:r>
      <w:r>
        <w:rPr>
          <w:rFonts w:ascii="仿宋_GB2312" w:eastAsia="仿宋_GB2312" w:cs="仿宋_GB2312"/>
          <w:sz w:val="32"/>
          <w:szCs w:val="32"/>
        </w:rPr>
        <w:t>2</w:t>
      </w:r>
      <w:r>
        <w:rPr>
          <w:rFonts w:ascii="仿宋_GB2312" w:eastAsia="仿宋_GB2312" w:cs="仿宋_GB2312" w:hint="eastAsia"/>
          <w:sz w:val="32"/>
          <w:szCs w:val="32"/>
        </w:rPr>
        <w:t>年度，</w:t>
      </w:r>
      <w:r>
        <w:rPr>
          <w:rFonts w:ascii="仿宋_GB2312" w:eastAsia="仿宋_GB2312" w:cs="仿宋_GB2312"/>
          <w:sz w:val="32"/>
          <w:szCs w:val="32"/>
        </w:rPr>
        <w:t>我办</w:t>
      </w:r>
      <w:r>
        <w:rPr>
          <w:rFonts w:ascii="仿宋_GB2312" w:eastAsia="仿宋_GB2312" w:cs="仿宋_GB2312" w:hint="eastAsia"/>
          <w:sz w:val="32"/>
          <w:szCs w:val="32"/>
        </w:rPr>
        <w:t>共受理政府信息公开申请2</w:t>
      </w:r>
      <w:r>
        <w:rPr>
          <w:rFonts w:ascii="仿宋_GB2312" w:eastAsia="仿宋_GB2312" w:cs="仿宋_GB2312"/>
          <w:sz w:val="32"/>
          <w:szCs w:val="32"/>
        </w:rPr>
        <w:t>3</w:t>
      </w:r>
      <w:r>
        <w:rPr>
          <w:rFonts w:ascii="仿宋_GB2312" w:eastAsia="仿宋_GB2312" w:cs="仿宋_GB2312" w:hint="eastAsia"/>
          <w:sz w:val="32"/>
          <w:szCs w:val="32"/>
        </w:rPr>
        <w:t>件，答复政府信息公开申请2</w:t>
      </w:r>
      <w:r>
        <w:rPr>
          <w:rFonts w:ascii="仿宋_GB2312" w:eastAsia="仿宋_GB2312" w:cs="仿宋_GB2312"/>
          <w:sz w:val="32"/>
          <w:szCs w:val="32"/>
        </w:rPr>
        <w:t>3</w:t>
      </w:r>
      <w:r>
        <w:rPr>
          <w:rFonts w:ascii="仿宋_GB2312" w:eastAsia="仿宋_GB2312" w:cs="仿宋_GB2312" w:hint="eastAsia"/>
          <w:sz w:val="32"/>
          <w:szCs w:val="32"/>
        </w:rPr>
        <w:t>件，均在法定期限内予以答复。予以公开及部分公开19件，占90.48%；不予公开1件，占4.76%；因本机关不掌握等原因无法提供1件，占4.76%。信息公开类行政诉讼1件，未出现被纠错的情况。</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sz w:val="32"/>
          <w:szCs w:val="32"/>
        </w:rPr>
      </w:pPr>
      <w:r>
        <w:rPr>
          <w:rFonts w:ascii="仿宋_GB2312" w:eastAsia="仿宋_GB2312" w:cs="仿宋_GB2312" w:hint="eastAsia"/>
          <w:sz w:val="32"/>
          <w:szCs w:val="32"/>
        </w:rPr>
        <w:t>整体来看，申请人以自然人为主，申请公开的内容主要涉及棚改征拆政策及</w:t>
      </w:r>
      <w:r>
        <w:rPr>
          <w:rFonts w:ascii="仿宋_GB2312" w:eastAsia="仿宋_GB2312" w:cs="仿宋_GB2312" w:hint="eastAsia"/>
          <w:sz w:val="32"/>
          <w:szCs w:val="32"/>
          <w:lang w:eastAsia="zh-CN"/>
        </w:rPr>
        <w:t>补偿</w:t>
      </w:r>
      <w:r>
        <w:rPr>
          <w:rFonts w:ascii="仿宋_GB2312" w:eastAsia="仿宋_GB2312" w:cs="仿宋_GB2312" w:hint="eastAsia"/>
          <w:sz w:val="32"/>
          <w:szCs w:val="32"/>
        </w:rPr>
        <w:t>情况、民生实事项目建设有关情况等。</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sz w:val="32"/>
          <w:szCs w:val="32"/>
        </w:rPr>
      </w:pPr>
      <w:r>
        <w:rPr>
          <w:rFonts w:ascii="楷体_GB2312" w:eastAsia="楷体_GB2312" w:cs="楷体_GB2312" w:hint="eastAsia"/>
          <w:sz w:val="32"/>
          <w:szCs w:val="32"/>
        </w:rPr>
        <w:t>（三）政府信息管理方面</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sz w:val="32"/>
          <w:szCs w:val="32"/>
        </w:rPr>
      </w:pPr>
      <w:r>
        <w:rPr>
          <w:rFonts w:ascii="仿宋_GB2312" w:eastAsia="仿宋_GB2312" w:cs="仿宋_GB2312" w:hint="eastAsia"/>
          <w:sz w:val="32"/>
          <w:szCs w:val="32"/>
        </w:rPr>
        <w:t>通过全省统一的政务公开工作平台，加强对本区政务公开工作的数字化管理</w:t>
      </w:r>
      <w:r>
        <w:rPr>
          <w:rFonts w:ascii="仿宋_GB2312" w:eastAsia="仿宋_GB2312" w:cs="仿宋_GB2312" w:hint="eastAsia"/>
          <w:sz w:val="32"/>
          <w:szCs w:val="32"/>
          <w:lang w:eastAsia="zh-CN"/>
        </w:rPr>
        <w:t>，全年独立用户访问总量505020个、网站总访问量6126616次、信息发布6299条，设置专栏专题14个，安全检测评估12次，建立安全监测预警机制并明确网站安全责任人</w:t>
      </w:r>
      <w:r>
        <w:rPr>
          <w:rFonts w:ascii="仿宋_GB2312" w:eastAsia="仿宋_GB2312" w:cs="仿宋_GB2312" w:hint="eastAsia"/>
          <w:sz w:val="32"/>
          <w:szCs w:val="32"/>
        </w:rPr>
        <w:t>。</w:t>
      </w:r>
      <w:r>
        <w:rPr>
          <w:rFonts w:ascii="仿宋_GB2312" w:eastAsia="仿宋_GB2312" w:cs="仿宋_GB2312"/>
          <w:sz w:val="32"/>
          <w:szCs w:val="32"/>
        </w:rPr>
        <w:t>对历史政府公文开展全面梳理和公开属性源头认定工作，在门户网站“政策文件”栏目集中公开</w:t>
      </w:r>
      <w:r>
        <w:rPr>
          <w:rFonts w:ascii="仿宋_GB2312" w:eastAsia="仿宋_GB2312" w:cs="仿宋_GB2312" w:hint="eastAsia"/>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楷体_GB2312" w:eastAsia="楷体_GB2312" w:cs="楷体_GB2312"/>
          <w:sz w:val="32"/>
          <w:szCs w:val="32"/>
        </w:rPr>
      </w:pPr>
      <w:r>
        <w:rPr>
          <w:rFonts w:ascii="楷体_GB2312" w:eastAsia="楷体_GB2312" w:cs="楷体_GB2312" w:hint="eastAsia"/>
          <w:sz w:val="32"/>
          <w:szCs w:val="32"/>
        </w:rPr>
        <w:t>（四）平台建设方面</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sz w:val="32"/>
          <w:szCs w:val="32"/>
        </w:rPr>
      </w:pPr>
      <w:r>
        <w:rPr>
          <w:rFonts w:ascii="仿宋_GB2312" w:eastAsia="仿宋_GB2312" w:cs="仿宋_GB2312"/>
          <w:sz w:val="32"/>
          <w:szCs w:val="32"/>
        </w:rPr>
        <w:t>推进区政府门户网站建设，按照宜春市政府网站集约化平台项目优化统一安排部署，推进适老化改造、留言功能、优化政务版块布局等。完成彬江镇、湛郎街道和居（村）级两级基层政务公开标准化规范化“十县百乡”试点建设。</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楷体_GB2312" w:eastAsia="楷体_GB2312" w:cs="楷体_GB2312"/>
          <w:sz w:val="32"/>
          <w:szCs w:val="32"/>
        </w:rPr>
      </w:pPr>
      <w:r>
        <w:rPr>
          <w:rFonts w:ascii="楷体_GB2312" w:eastAsia="楷体_GB2312" w:cs="楷体_GB2312" w:hint="eastAsia"/>
          <w:sz w:val="32"/>
          <w:szCs w:val="32"/>
        </w:rPr>
        <w:t>（五）监督保障方面</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sz w:val="32"/>
          <w:szCs w:val="32"/>
        </w:rPr>
      </w:pPr>
      <w:r>
        <w:rPr>
          <w:rFonts w:ascii="仿宋_GB2312" w:eastAsia="仿宋_GB2312" w:cs="仿宋_GB2312" w:hint="eastAsia"/>
          <w:sz w:val="32"/>
          <w:szCs w:val="32"/>
        </w:rPr>
        <w:t>印发《202</w:t>
      </w:r>
      <w:r>
        <w:rPr>
          <w:rFonts w:ascii="仿宋_GB2312" w:eastAsia="仿宋_GB2312" w:cs="仿宋_GB2312"/>
          <w:sz w:val="32"/>
          <w:szCs w:val="32"/>
        </w:rPr>
        <w:t>2</w:t>
      </w:r>
      <w:r>
        <w:rPr>
          <w:rFonts w:ascii="仿宋_GB2312" w:eastAsia="仿宋_GB2312" w:cs="仿宋_GB2312" w:hint="eastAsia"/>
          <w:sz w:val="32"/>
          <w:szCs w:val="32"/>
        </w:rPr>
        <w:t>年袁州区政务公开工作要点》</w:t>
      </w:r>
      <w:r>
        <w:rPr>
          <w:rFonts w:ascii="仿宋_GB2312" w:eastAsia="仿宋_GB2312" w:cs="仿宋_GB2312"/>
          <w:sz w:val="32"/>
          <w:szCs w:val="32"/>
        </w:rPr>
        <w:t>（袁府办字〔2022〕36号）</w:t>
      </w:r>
      <w:r>
        <w:rPr>
          <w:rFonts w:ascii="仿宋_GB2312" w:eastAsia="仿宋_GB2312" w:cs="仿宋_GB2312" w:hint="eastAsia"/>
          <w:sz w:val="32"/>
          <w:szCs w:val="32"/>
        </w:rPr>
        <w:t>，明确202</w:t>
      </w:r>
      <w:r>
        <w:rPr>
          <w:rFonts w:ascii="仿宋_GB2312" w:eastAsia="仿宋_GB2312" w:cs="仿宋_GB2312"/>
          <w:sz w:val="32"/>
          <w:szCs w:val="32"/>
        </w:rPr>
        <w:t>2</w:t>
      </w:r>
      <w:r>
        <w:rPr>
          <w:rFonts w:ascii="仿宋_GB2312" w:eastAsia="仿宋_GB2312" w:cs="仿宋_GB2312" w:hint="eastAsia"/>
          <w:sz w:val="32"/>
          <w:szCs w:val="32"/>
        </w:rPr>
        <w:t>年度重点目标和工作任务。</w:t>
      </w:r>
      <w:r>
        <w:rPr>
          <w:rFonts w:ascii="仿宋_GB2312" w:eastAsia="仿宋_GB2312" w:cs="仿宋_GB2312" w:hint="eastAsia"/>
          <w:sz w:val="32"/>
          <w:szCs w:val="32"/>
          <w:lang w:eastAsia="zh-CN"/>
        </w:rPr>
        <w:t>对重大错误频发、频繁出错的部门单位重点指导、重点关注、重点核查</w:t>
      </w:r>
      <w:r>
        <w:rPr>
          <w:rFonts w:ascii="仿宋_GB2312" w:eastAsia="仿宋_GB2312" w:cs="仿宋_GB2312" w:hint="eastAsia"/>
          <w:sz w:val="32"/>
          <w:szCs w:val="32"/>
        </w:rPr>
        <w:t>。</w:t>
      </w:r>
      <w:r>
        <w:rPr>
          <w:rFonts w:ascii="仿宋_GB2312" w:eastAsia="仿宋_GB2312" w:cs="仿宋_GB2312"/>
          <w:sz w:val="32"/>
          <w:szCs w:val="32"/>
        </w:rPr>
        <w:t>强化监督检查与考核评估，社会评议结果、年度政务公开考核指标和考核结果及时向社会公开，接受社会监督。以季度通报为抓手，结合日常业务培训指导、问题清单定向整改、专项工作进展情况通报等手段，切实提升全区政务公开工作水平。</w:t>
      </w:r>
    </w:p>
    <w:p>
      <w:pPr>
        <w:keepNext w:val="0"/>
        <w:keepLines w:val="0"/>
        <w:pageBreakBefore w:val="0"/>
        <w:widowControl w:val="0"/>
        <w:kinsoku/>
        <w:wordWrap/>
        <w:overflowPunct/>
        <w:topLinePunct w:val="0"/>
        <w:autoSpaceDE/>
        <w:autoSpaceDN/>
        <w:adjustRightInd/>
        <w:snapToGrid/>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lang w:val="en-US" w:eastAsia="zh-CN"/>
        </w:rPr>
        <w:t>7月份以后，</w:t>
      </w:r>
      <w:r>
        <w:rPr>
          <w:rFonts w:ascii="仿宋_GB2312" w:eastAsia="仿宋_GB2312" w:cs="仿宋_GB2312" w:hint="eastAsia"/>
          <w:sz w:val="32"/>
          <w:szCs w:val="32"/>
        </w:rPr>
        <w:t>参照全市“结对子找错误”活动，固定每周开展一次集中找错集中整改活动，每周三前相互找错，每周五前收集整改，</w:t>
      </w:r>
      <w:r>
        <w:rPr>
          <w:rFonts w:ascii="仿宋_GB2312" w:eastAsia="仿宋_GB2312" w:cs="仿宋_GB2312" w:hint="eastAsia"/>
          <w:sz w:val="32"/>
          <w:szCs w:val="32"/>
          <w:lang w:eastAsia="zh-CN"/>
        </w:rPr>
        <w:t>截至</w:t>
      </w:r>
      <w:r>
        <w:rPr>
          <w:rFonts w:ascii="仿宋_GB2312" w:eastAsia="仿宋_GB2312" w:cs="仿宋_GB2312" w:hint="eastAsia"/>
          <w:sz w:val="32"/>
          <w:szCs w:val="32"/>
          <w:lang w:val="en-US" w:eastAsia="zh-CN"/>
        </w:rPr>
        <w:t>12月底</w:t>
      </w:r>
      <w:r>
        <w:rPr>
          <w:rFonts w:ascii="仿宋_GB2312" w:eastAsia="仿宋_GB2312" w:cs="仿宋_GB2312" w:hint="eastAsia"/>
          <w:sz w:val="32"/>
          <w:szCs w:val="32"/>
          <w:lang w:eastAsia="zh-CN"/>
        </w:rPr>
        <w:t>，共互</w:t>
      </w:r>
      <w:r>
        <w:rPr>
          <w:rFonts w:ascii="仿宋_GB2312" w:eastAsia="仿宋_GB2312" w:cs="仿宋_GB2312" w:hint="eastAsia"/>
          <w:sz w:val="32"/>
          <w:szCs w:val="32"/>
        </w:rPr>
        <w:t>相找错</w:t>
      </w:r>
      <w:r>
        <w:rPr>
          <w:rFonts w:ascii="仿宋_GB2312" w:eastAsia="仿宋_GB2312" w:cs="仿宋_GB2312"/>
          <w:sz w:val="32"/>
          <w:szCs w:val="32"/>
          <w:lang w:val="en-US"/>
        </w:rPr>
        <w:t>104</w:t>
      </w:r>
      <w:r>
        <w:rPr>
          <w:rFonts w:ascii="仿宋_GB2312" w:eastAsia="仿宋_GB2312" w:cs="仿宋_GB2312" w:hint="eastAsia"/>
          <w:sz w:val="32"/>
          <w:szCs w:val="32"/>
          <w:lang w:val="en-US"/>
        </w:rPr>
        <w:t>次，整改完成率100%。</w:t>
      </w:r>
      <w:r>
        <w:rPr>
          <w:rFonts w:ascii="仿宋_GB2312" w:eastAsia="仿宋_GB2312" w:cs="仿宋_GB2312" w:hint="eastAsia"/>
          <w:sz w:val="32"/>
          <w:szCs w:val="32"/>
        </w:rPr>
        <w:t>把栏目优化运营、解读形式等列为查找重点，</w:t>
      </w:r>
      <w:r>
        <w:rPr>
          <w:rFonts w:ascii="仿宋_GB2312" w:eastAsia="仿宋_GB2312" w:cs="仿宋_GB2312" w:hint="eastAsia"/>
          <w:sz w:val="32"/>
          <w:szCs w:val="32"/>
          <w:lang w:eastAsia="zh-CN"/>
        </w:rPr>
        <w:t>要求以政府（办）名义发文的拟草部门，提交《袁州区行政机关公文公开发布意见单》及采用多元化方式解读的解读材料，</w:t>
      </w:r>
      <w:r>
        <w:rPr>
          <w:rFonts w:ascii="仿宋_GB2312" w:eastAsia="仿宋_GB2312" w:cs="仿宋_GB2312" w:hint="eastAsia"/>
          <w:sz w:val="32"/>
          <w:szCs w:val="32"/>
        </w:rPr>
        <w:t>并</w:t>
      </w:r>
      <w:r>
        <w:rPr>
          <w:rFonts w:ascii="仿宋_GB2312" w:eastAsia="仿宋_GB2312" w:cs="仿宋_GB2312" w:hint="eastAsia"/>
          <w:sz w:val="32"/>
          <w:szCs w:val="32"/>
          <w:lang w:eastAsia="zh-CN"/>
        </w:rPr>
        <w:t>将此项工作</w:t>
      </w:r>
      <w:r>
        <w:rPr>
          <w:rFonts w:ascii="仿宋_GB2312" w:eastAsia="仿宋_GB2312" w:cs="仿宋_GB2312" w:hint="eastAsia"/>
          <w:sz w:val="32"/>
          <w:szCs w:val="32"/>
        </w:rPr>
        <w:t>列入</w:t>
      </w:r>
      <w:r>
        <w:rPr>
          <w:rFonts w:ascii="仿宋_GB2312" w:eastAsia="仿宋_GB2312" w:cs="仿宋_GB2312" w:hint="eastAsia"/>
          <w:sz w:val="32"/>
          <w:szCs w:val="32"/>
          <w:lang w:eastAsia="zh-CN"/>
        </w:rPr>
        <w:t>年度</w:t>
      </w:r>
      <w:r>
        <w:rPr>
          <w:rFonts w:ascii="仿宋_GB2312" w:eastAsia="仿宋_GB2312" w:cs="仿宋_GB2312" w:hint="eastAsia"/>
          <w:sz w:val="32"/>
          <w:szCs w:val="32"/>
        </w:rPr>
        <w:t>日常</w:t>
      </w:r>
      <w:r>
        <w:rPr>
          <w:rFonts w:ascii="仿宋_GB2312" w:eastAsia="仿宋_GB2312" w:cs="仿宋_GB2312" w:hint="eastAsia"/>
          <w:sz w:val="32"/>
          <w:szCs w:val="32"/>
          <w:lang w:eastAsia="zh-CN"/>
        </w:rPr>
        <w:t>核查</w:t>
      </w:r>
      <w:r>
        <w:rPr>
          <w:rFonts w:ascii="仿宋_GB2312" w:eastAsia="仿宋_GB2312" w:cs="仿宋_GB2312" w:hint="eastAsia"/>
          <w:sz w:val="32"/>
          <w:szCs w:val="32"/>
        </w:rPr>
        <w:t>内容。</w:t>
      </w:r>
    </w:p>
    <w:p>
      <w:pPr>
        <w:keepNext w:val="0"/>
        <w:keepLines w:val="0"/>
        <w:pageBreakBefore w:val="0"/>
        <w:widowControl w:val="0"/>
        <w:kinsoku/>
        <w:wordWrap/>
        <w:overflowPunct/>
        <w:topLinePunct w:val="0"/>
        <w:autoSpaceDE/>
        <w:autoSpaceDN/>
        <w:adjustRightInd/>
        <w:snapToGrid/>
        <w:spacing w:line="600" w:lineRule="exact"/>
        <w:ind w:firstLineChars="200" w:firstLine="640"/>
        <w:rPr>
          <w:rFonts w:ascii="黑体" w:eastAsia="黑体" w:cs="黑体"/>
          <w:sz w:val="32"/>
          <w:szCs w:val="32"/>
        </w:rPr>
      </w:pPr>
      <w:r>
        <w:rPr>
          <w:rFonts w:ascii="黑体" w:eastAsia="黑体" w:cs="黑体" w:hint="eastAsia"/>
          <w:sz w:val="32"/>
          <w:szCs w:val="32"/>
        </w:rPr>
        <w:t>二、主动公开政府信息情况</w:t>
      </w:r>
    </w:p>
    <w:tbl>
      <w:tblPr>
        <w:jc w:val="lef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070"/>
        <w:gridCol w:w="2070"/>
        <w:gridCol w:w="2070"/>
        <w:gridCol w:w="2070"/>
      </w:tblGrid>
      <w:tr>
        <w:trPr>
          <w:trHeight w:val="539"/>
        </w:trPr>
        <w:tc>
          <w:tcPr>
            <w:tcW w:w="8280" w:type="dxa"/>
            <w:gridSpan w:val="4"/>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第二十条第（一）项</w:t>
            </w:r>
          </w:p>
        </w:tc>
      </w:tr>
      <w:tr>
        <w:trPr>
          <w:trHeight w:val="539"/>
        </w:trPr>
        <w:tc>
          <w:tcPr>
            <w:tcW w:w="207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信息内容</w:t>
            </w:r>
          </w:p>
        </w:tc>
        <w:tc>
          <w:tcPr>
            <w:tcW w:w="207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strike w:val="0"/>
                <w:dstrike w:val="0"/>
                <w:color w:val="auto"/>
                <w:sz w:val="24"/>
              </w:rPr>
            </w:pPr>
            <w:r>
              <w:rPr>
                <w:rFonts w:ascii="仿宋_GB2312" w:eastAsia="仿宋_GB2312"/>
                <w:b w:val="0"/>
                <w:i w:val="0"/>
                <w:strike w:val="0"/>
                <w:dstrike w:val="0"/>
                <w:color w:val="auto"/>
                <w:sz w:val="24"/>
              </w:rPr>
              <w:t>本年制发件数</w:t>
            </w:r>
          </w:p>
        </w:tc>
        <w:tc>
          <w:tcPr>
            <w:tcW w:w="207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本年废止件数</w:t>
            </w:r>
          </w:p>
        </w:tc>
        <w:tc>
          <w:tcPr>
            <w:tcW w:w="207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strike w:val="0"/>
                <w:dstrike w:val="0"/>
                <w:color w:val="auto"/>
                <w:sz w:val="24"/>
              </w:rPr>
            </w:pPr>
            <w:r>
              <w:rPr>
                <w:rFonts w:ascii="仿宋_GB2312" w:eastAsia="仿宋_GB2312"/>
                <w:b w:val="0"/>
                <w:i w:val="0"/>
                <w:strike w:val="0"/>
                <w:dstrike w:val="0"/>
                <w:color w:val="auto"/>
                <w:sz w:val="24"/>
              </w:rPr>
              <w:t>现行有效件数</w:t>
            </w:r>
          </w:p>
        </w:tc>
      </w:tr>
      <w:tr>
        <w:trPr>
          <w:trHeight w:val="539"/>
        </w:trPr>
        <w:tc>
          <w:tcPr>
            <w:tcW w:w="207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规章</w:t>
            </w:r>
          </w:p>
        </w:tc>
        <w:tc>
          <w:tcPr>
            <w:tcW w:w="207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207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207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539"/>
        </w:trPr>
        <w:tc>
          <w:tcPr>
            <w:tcW w:w="207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行政规范性文件</w:t>
            </w:r>
          </w:p>
        </w:tc>
        <w:tc>
          <w:tcPr>
            <w:tcW w:w="207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2</w:t>
            </w:r>
          </w:p>
        </w:tc>
        <w:tc>
          <w:tcPr>
            <w:tcW w:w="207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2</w:t>
            </w:r>
          </w:p>
        </w:tc>
        <w:tc>
          <w:tcPr>
            <w:tcW w:w="207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22</w:t>
            </w:r>
          </w:p>
        </w:tc>
      </w:tr>
      <w:tr>
        <w:trPr>
          <w:trHeight w:val="539"/>
        </w:trPr>
        <w:tc>
          <w:tcPr>
            <w:tcW w:w="8280" w:type="dxa"/>
            <w:gridSpan w:val="4"/>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第二十条第（五）项</w:t>
            </w:r>
          </w:p>
        </w:tc>
      </w:tr>
      <w:tr>
        <w:trPr>
          <w:trHeight w:val="539"/>
        </w:trPr>
        <w:tc>
          <w:tcPr>
            <w:tcW w:w="207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信息内容</w:t>
            </w:r>
          </w:p>
        </w:tc>
        <w:tc>
          <w:tcPr>
            <w:tcW w:w="6210" w:type="dxa"/>
            <w:gridSpan w:val="3"/>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本年处理决定数量</w:t>
            </w:r>
          </w:p>
        </w:tc>
      </w:tr>
      <w:tr>
        <w:trPr>
          <w:trHeight w:val="539"/>
        </w:trPr>
        <w:tc>
          <w:tcPr>
            <w:tcW w:w="207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行政许可</w:t>
            </w:r>
          </w:p>
        </w:tc>
        <w:tc>
          <w:tcPr>
            <w:tcW w:w="6210" w:type="dxa"/>
            <w:gridSpan w:val="3"/>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539"/>
        </w:trPr>
        <w:tc>
          <w:tcPr>
            <w:tcW w:w="8280" w:type="dxa"/>
            <w:gridSpan w:val="4"/>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第二十条第（六）项</w:t>
            </w:r>
          </w:p>
        </w:tc>
      </w:tr>
      <w:tr>
        <w:trPr>
          <w:trHeight w:val="539"/>
        </w:trPr>
        <w:tc>
          <w:tcPr>
            <w:tcW w:w="207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信息内容</w:t>
            </w:r>
          </w:p>
        </w:tc>
        <w:tc>
          <w:tcPr>
            <w:tcW w:w="6210" w:type="dxa"/>
            <w:gridSpan w:val="3"/>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本年处理决定数量</w:t>
            </w:r>
          </w:p>
        </w:tc>
      </w:tr>
      <w:tr>
        <w:trPr>
          <w:trHeight w:val="539"/>
        </w:trPr>
        <w:tc>
          <w:tcPr>
            <w:tcW w:w="207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行政处罚</w:t>
            </w:r>
          </w:p>
        </w:tc>
        <w:tc>
          <w:tcPr>
            <w:tcW w:w="6210" w:type="dxa"/>
            <w:gridSpan w:val="3"/>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539"/>
        </w:trPr>
        <w:tc>
          <w:tcPr>
            <w:tcW w:w="207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行政强制</w:t>
            </w:r>
          </w:p>
        </w:tc>
        <w:tc>
          <w:tcPr>
            <w:tcW w:w="6210" w:type="dxa"/>
            <w:gridSpan w:val="3"/>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539"/>
        </w:trPr>
        <w:tc>
          <w:tcPr>
            <w:tcW w:w="8280" w:type="dxa"/>
            <w:gridSpan w:val="4"/>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第二十条第（八）项</w:t>
            </w:r>
          </w:p>
        </w:tc>
      </w:tr>
      <w:tr>
        <w:trPr>
          <w:trHeight w:val="539"/>
        </w:trPr>
        <w:tc>
          <w:tcPr>
            <w:tcW w:w="207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信息内容</w:t>
            </w:r>
          </w:p>
        </w:tc>
        <w:tc>
          <w:tcPr>
            <w:tcW w:w="6210" w:type="dxa"/>
            <w:gridSpan w:val="3"/>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本年收费金额（单位：万元）</w:t>
            </w:r>
          </w:p>
        </w:tc>
      </w:tr>
      <w:tr>
        <w:trPr>
          <w:trHeight w:val="539"/>
        </w:trPr>
        <w:tc>
          <w:tcPr>
            <w:tcW w:w="207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行政事业性收费</w:t>
            </w:r>
          </w:p>
        </w:tc>
        <w:tc>
          <w:tcPr>
            <w:tcW w:w="6210" w:type="dxa"/>
            <w:gridSpan w:val="3"/>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bl>
    <w:p>
      <w:pPr>
        <w:keepNext w:val="0"/>
        <w:keepLines w:val="0"/>
        <w:pageBreakBefore w:val="0"/>
        <w:widowControl w:val="0"/>
        <w:kinsoku/>
        <w:wordWrap/>
        <w:overflowPunct/>
        <w:topLinePunct w:val="0"/>
        <w:autoSpaceDE/>
        <w:autoSpaceDN/>
        <w:adjustRightInd/>
        <w:snapToGrid/>
        <w:spacing w:line="600" w:lineRule="exact"/>
        <w:ind w:left="0"/>
        <w:rPr>
          <w:rFonts w:ascii="仿宋_GB2312" w:eastAsia="仿宋_GB2312" w:cs="仿宋_GB2312"/>
          <w:sz w:val="32"/>
          <w:szCs w:val="32"/>
        </w:rPr>
      </w:pPr>
    </w:p>
    <w:p>
      <w:pPr>
        <w:keepNext w:val="0"/>
        <w:keepLines w:val="0"/>
        <w:pageBreakBefore w:val="0"/>
        <w:widowControl w:val="0"/>
        <w:kinsoku/>
        <w:wordWrap/>
        <w:overflowPunct/>
        <w:topLinePunct w:val="0"/>
        <w:autoSpaceDE/>
        <w:autoSpaceDN/>
        <w:adjustRightInd/>
        <w:snapToGrid/>
        <w:spacing w:line="600" w:lineRule="exact"/>
        <w:ind w:firstLineChars="200" w:firstLine="640"/>
        <w:rPr>
          <w:rFonts w:ascii="黑体" w:eastAsia="黑体" w:cs="黑体"/>
          <w:bCs/>
          <w:sz w:val="32"/>
          <w:szCs w:val="32"/>
        </w:rPr>
      </w:pPr>
      <w:r>
        <w:rPr>
          <w:rFonts w:ascii="黑体" w:eastAsia="黑体" w:cs="黑体" w:hint="eastAsia"/>
          <w:bCs/>
          <w:sz w:val="32"/>
          <w:szCs w:val="32"/>
        </w:rPr>
        <w:t>三、收到和处理政府信息公开申请情况</w:t>
      </w:r>
    </w:p>
    <w:tbl>
      <w:tblPr>
        <w:jc w:val="left"/>
        <w:tblInd w:w="-749" w:type="dxa"/>
        <w:tblW w:w="997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855"/>
        <w:gridCol w:w="1215"/>
        <w:gridCol w:w="2130"/>
        <w:gridCol w:w="690"/>
        <w:gridCol w:w="810"/>
        <w:gridCol w:w="780"/>
        <w:gridCol w:w="990"/>
        <w:gridCol w:w="1020"/>
        <w:gridCol w:w="765"/>
        <w:gridCol w:w="705"/>
      </w:tblGrid>
      <w:tr>
        <w:trPr>
          <w:trHeight w:val="659"/>
        </w:trPr>
        <w:tc>
          <w:tcPr>
            <w:tcW w:w="4200" w:type="dxa"/>
            <w:gridSpan w:val="3"/>
            <w:vMerge w:val="restart"/>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（本列数据的勾稽关系为：第一项加第二项之和，等于第三项加第四项之和）</w:t>
            </w:r>
          </w:p>
        </w:tc>
        <w:tc>
          <w:tcPr>
            <w:tcW w:w="5760" w:type="dxa"/>
            <w:gridSpan w:val="7"/>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申请人情况</w:t>
            </w:r>
          </w:p>
        </w:tc>
      </w:tr>
      <w:tr>
        <w:trPr>
          <w:trHeight w:val="659"/>
        </w:trPr>
        <w:tc>
          <w:tcPr>
            <w:gridSpan w:val="3"/>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W w:w="690" w:type="dxa"/>
            <w:vMerge w:val="restart"/>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自然人</w:t>
            </w:r>
          </w:p>
        </w:tc>
        <w:tc>
          <w:tcPr>
            <w:tcW w:w="4365" w:type="dxa"/>
            <w:gridSpan w:val="5"/>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法人或其他组织</w:t>
            </w:r>
          </w:p>
        </w:tc>
        <w:tc>
          <w:tcPr>
            <w:tcW w:w="705" w:type="dxa"/>
            <w:vMerge w:val="restart"/>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总计</w:t>
            </w:r>
          </w:p>
        </w:tc>
      </w:tr>
      <w:tr>
        <w:trPr>
          <w:trHeight w:val="914"/>
        </w:trPr>
        <w:tc>
          <w:tcPr>
            <w:gridSpan w:val="3"/>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商业企业</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科研机构</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社会公益组织</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法律服务机构</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其他</w:t>
            </w:r>
          </w:p>
        </w:tc>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r>
      <w:tr>
        <w:trPr>
          <w:trHeight w:val="674"/>
        </w:trPr>
        <w:tc>
          <w:tcPr>
            <w:tcW w:w="4200" w:type="dxa"/>
            <w:gridSpan w:val="3"/>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一、本年新收政府信息公开申请数量</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22</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1</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23</w:t>
            </w:r>
          </w:p>
        </w:tc>
      </w:tr>
      <w:tr>
        <w:trPr>
          <w:trHeight w:val="659"/>
        </w:trPr>
        <w:tc>
          <w:tcPr>
            <w:tcW w:w="4200" w:type="dxa"/>
            <w:gridSpan w:val="3"/>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二、上年结转政府信息公开申请数量</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1</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1</w:t>
            </w:r>
          </w:p>
        </w:tc>
      </w:tr>
      <w:tr>
        <w:trPr>
          <w:trHeight w:val="659"/>
        </w:trPr>
        <w:tc>
          <w:tcPr>
            <w:tcW w:w="855" w:type="dxa"/>
            <w:vMerge w:val="restart"/>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三、本年度办理结果</w:t>
            </w:r>
          </w:p>
        </w:tc>
        <w:tc>
          <w:tcPr>
            <w:tcW w:w="3345" w:type="dxa"/>
            <w:gridSpan w:val="2"/>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（一）予以公开</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23</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1</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24</w:t>
            </w:r>
          </w:p>
        </w:tc>
      </w:tr>
      <w:tr>
        <w:trPr>
          <w:trHeight w:val="1319"/>
        </w:trPr>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W w:w="3345" w:type="dxa"/>
            <w:gridSpan w:val="2"/>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（二）部分公开（区分处理的，只计这一情形，不计其他情形）</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569"/>
        </w:trPr>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W w:w="1215" w:type="dxa"/>
            <w:vMerge w:val="restart"/>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（三）不予公开</w:t>
            </w:r>
          </w:p>
        </w:tc>
        <w:tc>
          <w:tcPr>
            <w:tcW w:w="213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1.属于国家秘密</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1079"/>
        </w:trPr>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W w:w="213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2.其他法律行政法规禁止公开</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659"/>
        </w:trPr>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W w:w="213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3.危及“三安全一稳定</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659"/>
        </w:trPr>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W w:w="213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4.保护第三方合法权益</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659"/>
        </w:trPr>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W w:w="213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5.属于三类内部事务信息</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659"/>
        </w:trPr>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W w:w="213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6.属于四类过程性信息</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659"/>
        </w:trPr>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W w:w="213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7.属于行政执法案卷</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659"/>
        </w:trPr>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W w:w="213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8.属于行政查询事项</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659"/>
        </w:trPr>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W w:w="1215" w:type="dxa"/>
            <w:vMerge w:val="restart"/>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（四）无法提供</w:t>
            </w:r>
          </w:p>
        </w:tc>
        <w:tc>
          <w:tcPr>
            <w:tcW w:w="213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1.本机关不掌握相关政府信息</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809"/>
        </w:trPr>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W w:w="213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2.没有现成信息需要另行制作</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659"/>
        </w:trPr>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W w:w="213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3.补正后申请内容仍不明确</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659"/>
        </w:trPr>
        <w:tc>
          <w:tcPr>
            <w:tcW w:w="855" w:type="dxa"/>
            <w:vMerge w:val="restart"/>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三、本年度办理结果</w:t>
            </w:r>
          </w:p>
        </w:tc>
        <w:tc>
          <w:tcPr>
            <w:tcW w:w="1215" w:type="dxa"/>
            <w:vMerge w:val="restart"/>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（五）不予处理</w:t>
            </w:r>
          </w:p>
        </w:tc>
        <w:tc>
          <w:tcPr>
            <w:tcW w:w="213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1.信访举报投诉类申请</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659"/>
        </w:trPr>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W w:w="213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2.重复申请</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659"/>
        </w:trPr>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W w:w="213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3.要求提供公开出版物</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659"/>
        </w:trPr>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W w:w="213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4.无正当理由大量反复申请</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1109"/>
        </w:trPr>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W w:w="213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5.要求行政机关确认或重新出具已获取信息</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1799"/>
        </w:trPr>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W w:w="1215" w:type="dxa"/>
            <w:vMerge w:val="restart"/>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（六）其他处理</w:t>
            </w:r>
          </w:p>
        </w:tc>
        <w:tc>
          <w:tcPr>
            <w:tcW w:w="213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1.申请人无正当理由逾期不补正、行政机关不再处理其政府信息公开申请</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1799"/>
        </w:trPr>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W w:w="213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2.申请人逾期未按收费通知要求缴纳费用、行政机关不再处理其政府信息公开申请</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659"/>
        </w:trPr>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W w:w="2130" w:type="dxa"/>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3.其他</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rPr>
          <w:trHeight w:val="659"/>
        </w:trPr>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W w:w="3345" w:type="dxa"/>
            <w:gridSpan w:val="2"/>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（七）总计</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23</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1</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24</w:t>
            </w:r>
          </w:p>
        </w:tc>
      </w:tr>
      <w:tr>
        <w:trPr>
          <w:trHeight w:val="659"/>
        </w:trPr>
        <w:tc>
          <w:tcPr>
            <w:tcW w:w="4200" w:type="dxa"/>
            <w:gridSpan w:val="3"/>
            <w:tcBorders>
              <w:top w:val="single" w:sz="6" w:space="0" w:color="000000"/>
              <w:left w:val="single" w:sz="6" w:space="0" w:color="000000"/>
              <w:bottom w:val="single" w:sz="6" w:space="0" w:color="000000"/>
              <w:right w:val="single" w:sz="6" w:space="0" w:color="00000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四、结转下年度继续办理</w:t>
            </w:r>
          </w:p>
        </w:tc>
        <w:tc>
          <w:tcPr>
            <w:tcW w:w="6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1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9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1020"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6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05" w:type="dxa"/>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bl>
    <w:p>
      <w:pPr>
        <w:keepNext w:val="0"/>
        <w:keepLines w:val="0"/>
        <w:pageBreakBefore w:val="0"/>
        <w:widowControl w:val="0"/>
        <w:kinsoku/>
        <w:wordWrap/>
        <w:overflowPunct/>
        <w:topLinePunct w:val="0"/>
        <w:autoSpaceDE/>
        <w:autoSpaceDN/>
        <w:adjustRightInd/>
        <w:snapToGrid/>
        <w:spacing w:line="600" w:lineRule="exact"/>
        <w:ind w:left="0"/>
        <w:rPr>
          <w:rFonts w:ascii="仿宋_GB2312" w:eastAsia="仿宋_GB2312" w:cs="仿宋_GB2312"/>
          <w:sz w:val="32"/>
          <w:szCs w:val="32"/>
        </w:rPr>
      </w:pPr>
    </w:p>
    <w:p>
      <w:pPr>
        <w:keepNext w:val="0"/>
        <w:keepLines w:val="0"/>
        <w:pageBreakBefore w:val="0"/>
        <w:widowControl w:val="0"/>
        <w:kinsoku/>
        <w:wordWrap/>
        <w:overflowPunct/>
        <w:topLinePunct w:val="0"/>
        <w:autoSpaceDE/>
        <w:autoSpaceDN/>
        <w:adjustRightInd/>
        <w:snapToGrid/>
        <w:spacing w:line="600" w:lineRule="exact"/>
        <w:ind w:firstLineChars="200" w:firstLine="640"/>
        <w:rPr>
          <w:rFonts w:ascii="黑体" w:eastAsia="黑体" w:cs="黑体" w:hint="eastAsia"/>
          <w:sz w:val="32"/>
          <w:szCs w:val="32"/>
        </w:rPr>
      </w:pPr>
      <w:r>
        <w:rPr>
          <w:rFonts w:ascii="黑体" w:eastAsia="黑体" w:cs="黑体" w:hint="eastAsia"/>
          <w:bCs/>
          <w:sz w:val="32"/>
          <w:szCs w:val="32"/>
        </w:rPr>
        <w:t>四、政府信息公开行政复议、行政诉讼情况</w:t>
      </w:r>
    </w:p>
    <w:tbl>
      <w:tblPr>
        <w:jc w:val="lef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610"/>
        <w:gridCol w:w="610"/>
        <w:gridCol w:w="610"/>
        <w:gridCol w:w="610"/>
        <w:gridCol w:w="361"/>
        <w:gridCol w:w="610"/>
        <w:gridCol w:w="610"/>
        <w:gridCol w:w="610"/>
        <w:gridCol w:w="610"/>
        <w:gridCol w:w="361"/>
        <w:gridCol w:w="610"/>
        <w:gridCol w:w="610"/>
        <w:gridCol w:w="610"/>
        <w:gridCol w:w="610"/>
        <w:gridCol w:w="361"/>
      </w:tblGrid>
      <w:tr>
        <w:trPr>
          <w:trHeight w:val="539"/>
        </w:trPr>
        <w:tc>
          <w:tcPr>
            <w:gridSpan w:val="5"/>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行政复议</w:t>
            </w:r>
          </w:p>
        </w:tc>
        <w:tc>
          <w:tcPr>
            <w:gridSpan w:val="10"/>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行政诉讼</w:t>
            </w:r>
          </w:p>
        </w:tc>
      </w:tr>
      <w:tr>
        <w:trPr>
          <w:trHeight w:val="689"/>
        </w:trPr>
        <w:tc>
          <w:tcPr>
            <w:vMerge w:val="restart"/>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结果维持</w:t>
            </w:r>
          </w:p>
        </w:tc>
        <w:tc>
          <w:tcPr>
            <w:vMerge w:val="restart"/>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结果纠正</w:t>
            </w:r>
          </w:p>
        </w:tc>
        <w:tc>
          <w:tcPr>
            <w:vMerge w:val="restart"/>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其他结果</w:t>
            </w:r>
          </w:p>
        </w:tc>
        <w:tc>
          <w:tcPr>
            <w:vMerge w:val="restart"/>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尚未审结</w:t>
            </w:r>
          </w:p>
        </w:tc>
        <w:tc>
          <w:tcPr>
            <w:vMerge w:val="restart"/>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总计</w:t>
            </w:r>
          </w:p>
        </w:tc>
        <w:tc>
          <w:tcPr>
            <w:gridSpan w:val="5"/>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未经复议直接起诉</w:t>
            </w:r>
          </w:p>
        </w:tc>
        <w:tc>
          <w:tcPr>
            <w:gridSpan w:val="5"/>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复议后起诉</w:t>
            </w:r>
          </w:p>
        </w:tc>
      </w:tr>
      <w:tr>
        <w:trPr>
          <w:trHeight w:val="1319"/>
        </w:trPr>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vMerge/>
            <w:tcBorders>
              <w:top w:val="single" w:sz="6" w:space="0" w:color="000000"/>
              <w:left w:val="single" w:sz="6" w:space="0" w:color="000000"/>
              <w:bottom w:val="single" w:sz="6" w:space="0" w:color="000000"/>
              <w:right w:val="single" w:sz="6" w:space="0" w:color="000000"/>
              <w:tl2br w:val="nil"/>
              <w:tr2bl w:val="nil"/>
            </w:tcBorders>
            <w:noWrap/>
            <w:vAlign w:val="center"/>
          </w:tcP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结果维持</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结果纠正</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其他结果</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尚未审结</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总计</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结果维持</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结果纠正</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其他结果</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尚未审结</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总计</w:t>
            </w:r>
          </w:p>
        </w:tc>
      </w:tr>
      <w:tr>
        <w:trPr>
          <w:trHeight w:val="1109"/>
        </w:trPr>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1</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1</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Borders>
              <w:top w:val="single" w:sz="6" w:space="0" w:color="000000"/>
              <w:left w:val="single" w:sz="6" w:space="0" w:color="000000"/>
              <w:bottom w:val="single" w:sz="6" w:space="0" w:color="000000"/>
              <w:right w:val="single" w:sz="6" w:space="0" w:color="00000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bookmarkStart w:id="0" w:name="_GoBack"/>
        <w:bookmarkEnd w:id="0"/>
      </w:tr>
    </w:tbl>
    <w:p>
      <w:pPr>
        <w:keepNext w:val="0"/>
        <w:keepLines w:val="0"/>
        <w:pageBreakBefore w:val="0"/>
        <w:widowControl w:val="0"/>
        <w:kinsoku/>
        <w:wordWrap/>
        <w:overflowPunct/>
        <w:topLinePunct w:val="0"/>
        <w:autoSpaceDE/>
        <w:autoSpaceDN/>
        <w:adjustRightInd/>
        <w:snapToGrid/>
        <w:spacing w:line="600" w:lineRule="exact"/>
        <w:ind w:left="0"/>
        <w:rPr>
          <w:rFonts w:ascii="仿宋_GB2312" w:eastAsia="仿宋_GB2312" w:cs="仿宋_GB2312"/>
          <w:sz w:val="32"/>
          <w:szCs w:val="32"/>
        </w:rPr>
      </w:pPr>
    </w:p>
    <w:p>
      <w:pPr>
        <w:keepNext w:val="0"/>
        <w:keepLines w:val="0"/>
        <w:pageBreakBefore w:val="0"/>
        <w:widowControl w:val="0"/>
        <w:kinsoku/>
        <w:wordWrap/>
        <w:overflowPunct/>
        <w:topLinePunct w:val="0"/>
        <w:autoSpaceDE/>
        <w:autoSpaceDN/>
        <w:adjustRightInd/>
        <w:snapToGrid/>
        <w:spacing w:line="600" w:lineRule="exact"/>
        <w:ind w:firstLineChars="200" w:firstLine="640"/>
        <w:rPr>
          <w:rFonts w:ascii="黑体" w:eastAsia="黑体" w:cs="黑体"/>
          <w:sz w:val="32"/>
          <w:szCs w:val="32"/>
        </w:rPr>
      </w:pPr>
      <w:r>
        <w:rPr>
          <w:rFonts w:ascii="黑体" w:eastAsia="黑体" w:cs="黑体" w:hint="eastAsia"/>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sz w:val="32"/>
          <w:szCs w:val="32"/>
        </w:rPr>
      </w:pPr>
      <w:r>
        <w:rPr>
          <w:rFonts w:ascii="仿宋_GB2312" w:eastAsia="仿宋_GB2312" w:cs="仿宋_GB2312"/>
          <w:sz w:val="32"/>
          <w:szCs w:val="32"/>
        </w:rPr>
        <w:t>今</w:t>
      </w:r>
      <w:r>
        <w:rPr>
          <w:rFonts w:ascii="仿宋_GB2312" w:eastAsia="仿宋_GB2312" w:cs="仿宋_GB2312" w:hint="eastAsia"/>
          <w:sz w:val="32"/>
          <w:szCs w:val="32"/>
        </w:rPr>
        <w:t>年来，</w:t>
      </w:r>
      <w:r>
        <w:rPr>
          <w:rFonts w:ascii="仿宋_GB2312" w:eastAsia="仿宋_GB2312" w:cs="仿宋_GB2312"/>
          <w:sz w:val="32"/>
          <w:szCs w:val="32"/>
        </w:rPr>
        <w:t>我办</w:t>
      </w:r>
      <w:r>
        <w:rPr>
          <w:rFonts w:ascii="仿宋_GB2312" w:eastAsia="仿宋_GB2312" w:cs="仿宋_GB2312" w:hint="eastAsia"/>
          <w:sz w:val="32"/>
          <w:szCs w:val="32"/>
        </w:rPr>
        <w:t>从广大群众的实际需求出发，</w:t>
      </w:r>
      <w:r>
        <w:rPr>
          <w:rFonts w:ascii="仿宋_GB2312" w:eastAsia="仿宋_GB2312" w:cs="仿宋_GB2312"/>
          <w:sz w:val="32"/>
          <w:szCs w:val="32"/>
        </w:rPr>
        <w:t>取得了一些成绩,也暴露出部分问题</w:t>
      </w:r>
      <w:r>
        <w:rPr>
          <w:rFonts w:ascii="仿宋_GB2312" w:eastAsia="仿宋_GB2312" w:cs="仿宋_GB2312" w:hint="eastAsia"/>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sz w:val="32"/>
          <w:szCs w:val="32"/>
        </w:rPr>
      </w:pPr>
      <w:r>
        <w:rPr>
          <w:rFonts w:ascii="楷体_GB2312" w:eastAsia="楷体_GB2312" w:cs="楷体_GB2312" w:hint="eastAsia"/>
          <w:sz w:val="32"/>
          <w:szCs w:val="32"/>
        </w:rPr>
        <w:t>（一）重视不够和专人匮乏是制约工作推进的“难点”。</w:t>
      </w:r>
      <w:r>
        <w:rPr>
          <w:rFonts w:ascii="仿宋_GB2312" w:eastAsia="仿宋_GB2312" w:cs="仿宋_GB2312" w:hint="eastAsia"/>
          <w:sz w:val="32"/>
          <w:szCs w:val="32"/>
        </w:rPr>
        <w:t>绝大多数区直单位、乡镇</w:t>
      </w:r>
      <w:r>
        <w:rPr>
          <w:rFonts w:ascii="仿宋_GB2312" w:eastAsia="仿宋_GB2312" w:cs="仿宋_GB2312" w:hint="eastAsia"/>
          <w:sz w:val="32"/>
          <w:szCs w:val="32"/>
          <w:lang w:eastAsia="zh-CN"/>
        </w:rPr>
        <w:t>、</w:t>
      </w:r>
      <w:r>
        <w:rPr>
          <w:rFonts w:ascii="仿宋_GB2312" w:eastAsia="仿宋_GB2312" w:cs="仿宋_GB2312" w:hint="eastAsia"/>
          <w:sz w:val="32"/>
          <w:szCs w:val="32"/>
        </w:rPr>
        <w:t>街道</w:t>
      </w:r>
      <w:r>
        <w:rPr>
          <w:rFonts w:ascii="仿宋_GB2312" w:eastAsia="仿宋_GB2312" w:cs="仿宋_GB2312" w:hint="eastAsia"/>
          <w:sz w:val="32"/>
          <w:szCs w:val="32"/>
          <w:lang w:eastAsia="zh-CN"/>
        </w:rPr>
        <w:t>政务</w:t>
      </w:r>
      <w:r>
        <w:rPr>
          <w:rFonts w:ascii="仿宋_GB2312" w:eastAsia="仿宋_GB2312" w:cs="仿宋_GB2312" w:hint="eastAsia"/>
          <w:sz w:val="32"/>
          <w:szCs w:val="32"/>
        </w:rPr>
        <w:t>公开工作人员身兼数职，岗位变动频繁，加上业务水平参差不齐，部分单位抓工作常常难以跟上步伐，使得基层政务公开高质量推进有难度。</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sz w:val="32"/>
          <w:szCs w:val="32"/>
        </w:rPr>
      </w:pPr>
      <w:r>
        <w:rPr>
          <w:rFonts w:ascii="楷体_GB2312" w:eastAsia="楷体_GB2312" w:cs="楷体_GB2312" w:hint="eastAsia"/>
          <w:sz w:val="32"/>
          <w:szCs w:val="32"/>
        </w:rPr>
        <w:t>（</w:t>
      </w:r>
      <w:r>
        <w:rPr>
          <w:rFonts w:ascii="楷体_GB2312" w:eastAsia="楷体_GB2312" w:cs="楷体_GB2312"/>
          <w:sz w:val="32"/>
          <w:szCs w:val="32"/>
        </w:rPr>
        <w:t>二</w:t>
      </w:r>
      <w:r>
        <w:rPr>
          <w:rFonts w:ascii="楷体_GB2312" w:eastAsia="楷体_GB2312" w:cs="楷体_GB2312" w:hint="eastAsia"/>
          <w:sz w:val="32"/>
          <w:szCs w:val="32"/>
        </w:rPr>
        <w:t>）资金投入不足是限制工作创新的“痛点”。</w:t>
      </w:r>
      <w:r>
        <w:rPr>
          <w:rFonts w:ascii="仿宋_GB2312" w:eastAsia="仿宋_GB2312" w:cs="仿宋_GB2312" w:hint="eastAsia"/>
          <w:sz w:val="32"/>
          <w:szCs w:val="32"/>
        </w:rPr>
        <w:t>当前仅聘请了第三方评估公司对政府门户网站和政务新媒体进行监测，对比先进地市的“十县百乡”试点县、试点乡镇建设，线下公开专区、线上集约化改造和第三方全面监测评估投入都远超我区，打通基层政务公开标准化规范化向乡镇</w:t>
      </w:r>
      <w:r>
        <w:rPr>
          <w:rFonts w:ascii="仿宋_GB2312" w:eastAsia="仿宋_GB2312" w:cs="仿宋_GB2312" w:hint="eastAsia"/>
          <w:sz w:val="32"/>
          <w:szCs w:val="32"/>
          <w:lang w:eastAsia="zh-CN"/>
        </w:rPr>
        <w:t>、</w:t>
      </w:r>
      <w:r>
        <w:rPr>
          <w:rFonts w:ascii="仿宋_GB2312" w:eastAsia="仿宋_GB2312" w:cs="仿宋_GB2312" w:hint="eastAsia"/>
          <w:sz w:val="32"/>
          <w:szCs w:val="32"/>
        </w:rPr>
        <w:t>街道和村</w:t>
      </w:r>
      <w:r>
        <w:rPr>
          <w:rFonts w:ascii="仿宋_GB2312" w:eastAsia="仿宋_GB2312" w:cs="仿宋_GB2312" w:hint="eastAsia"/>
          <w:sz w:val="32"/>
          <w:szCs w:val="32"/>
          <w:lang w:eastAsia="zh-CN"/>
        </w:rPr>
        <w:t>、</w:t>
      </w:r>
      <w:r>
        <w:rPr>
          <w:rFonts w:ascii="仿宋_GB2312" w:eastAsia="仿宋_GB2312" w:cs="仿宋_GB2312" w:hint="eastAsia"/>
          <w:sz w:val="32"/>
          <w:szCs w:val="32"/>
        </w:rPr>
        <w:t>居延伸“最后一公里”有压力。</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sz w:val="32"/>
          <w:szCs w:val="32"/>
        </w:rPr>
      </w:pPr>
      <w:r>
        <w:rPr>
          <w:rFonts w:ascii="楷体_GB2312" w:eastAsia="楷体_GB2312" w:cs="楷体_GB2312" w:hint="eastAsia"/>
          <w:sz w:val="32"/>
          <w:szCs w:val="32"/>
        </w:rPr>
        <w:t>（</w:t>
      </w:r>
      <w:r>
        <w:rPr>
          <w:rFonts w:ascii="楷体_GB2312" w:eastAsia="楷体_GB2312" w:cs="楷体_GB2312"/>
          <w:sz w:val="32"/>
          <w:szCs w:val="32"/>
        </w:rPr>
        <w:t>三</w:t>
      </w:r>
      <w:r>
        <w:rPr>
          <w:rFonts w:ascii="楷体_GB2312" w:eastAsia="楷体_GB2312" w:cs="楷体_GB2312" w:hint="eastAsia"/>
          <w:sz w:val="32"/>
          <w:szCs w:val="32"/>
        </w:rPr>
        <w:t>）政务公开与政务服务融合不高是束缚工作实效的“堵点”。</w:t>
      </w:r>
      <w:r>
        <w:rPr>
          <w:rFonts w:ascii="仿宋_GB2312" w:eastAsia="仿宋_GB2312" w:cs="仿宋_GB2312" w:hint="eastAsia"/>
          <w:sz w:val="32"/>
          <w:szCs w:val="32"/>
        </w:rPr>
        <w:t>针对国办、省重点工作任务要求“围绕优化营商环境加强政务信息公开，提高政务服务透明度便利度”，实际工作中，大部分单位将政务公开与政务服务割裂开来，不能有效统筹，提升公开实效和服务水平有阻力。</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sz w:val="32"/>
          <w:szCs w:val="32"/>
        </w:rPr>
      </w:pPr>
      <w:r>
        <w:rPr>
          <w:rFonts w:ascii="仿宋_GB2312" w:eastAsia="仿宋_GB2312" w:cs="仿宋_GB2312" w:hint="eastAsia"/>
          <w:sz w:val="32"/>
          <w:szCs w:val="32"/>
        </w:rPr>
        <w:t>202</w:t>
      </w:r>
      <w:r>
        <w:rPr>
          <w:rFonts w:ascii="仿宋_GB2312" w:eastAsia="仿宋_GB2312" w:cs="仿宋_GB2312"/>
          <w:sz w:val="32"/>
          <w:szCs w:val="32"/>
        </w:rPr>
        <w:t>2</w:t>
      </w:r>
      <w:r>
        <w:rPr>
          <w:rFonts w:ascii="仿宋_GB2312" w:eastAsia="仿宋_GB2312" w:cs="仿宋_GB2312" w:hint="eastAsia"/>
          <w:sz w:val="32"/>
          <w:szCs w:val="32"/>
        </w:rPr>
        <w:t>年，围绕上述薄弱环节，主要开展了以下三个方面的工作：一是依托政务公开考核及评议情况，狠抓全区各层级问题整改落实，以考核评议推动工作机制不断优化完善。二是以图文、视频等多种形式为抓手，丰富解读形式和内容实质，用权威方式、通俗语言、鲜明特色诠释政策文件。三是高标准打造政务公开服务专区，有力推进政务公开线下实体平台向纵深发展。专区充分整合各类政务公开要素，极大改变了以往公开要素、资源分散，不利于统一管理的情况，有助于我区进一步加强政府信息资源的标准化、信息化管理。</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黑体" w:eastAsia="黑体" w:cs="黑体"/>
          <w:sz w:val="32"/>
          <w:szCs w:val="32"/>
        </w:rPr>
      </w:pPr>
      <w:r>
        <w:rPr>
          <w:rFonts w:ascii="黑体" w:eastAsia="黑体" w:cs="黑体" w:hint="eastAsia"/>
          <w:sz w:val="32"/>
          <w:szCs w:val="32"/>
        </w:rPr>
        <w:t>六、其他需要报告的事项</w:t>
      </w:r>
    </w:p>
    <w:p>
      <w:pPr>
        <w:spacing w:line="590" w:lineRule="exact"/>
        <w:ind w:firstLineChars="200" w:firstLine="640"/>
        <w:rPr>
          <w:rFonts w:ascii="仿宋_GB2312" w:eastAsia="仿宋_GB2312" w:cs="仿宋_GB2312"/>
          <w:sz w:val="32"/>
          <w:szCs w:val="32"/>
        </w:rPr>
      </w:pPr>
      <w:r>
        <w:rPr>
          <w:rFonts w:ascii="仿宋_GB2312" w:eastAsia="仿宋_GB2312" w:cs="仿宋_GB2312"/>
          <w:sz w:val="32"/>
          <w:szCs w:val="32"/>
        </w:rPr>
        <w:t>2022年，袁州区人民政府无收取信息处理费情况。</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sz w:val="32"/>
          <w:szCs w:val="32"/>
          <w:lang w:val="en-US" w:eastAsia="zh-CN"/>
        </w:rPr>
      </w:pPr>
    </w:p>
    <w:sectPr>
      <w:footerReference w:type="default" r:id="rId2"/>
      <w:pgSz w:w="11906" w:h="16838"/>
      <w:pgMar w:top="1440" w:right="1800" w:bottom="1440" w:left="1800"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auto"/>
    <w:pitch w:val="variable"/>
    <w:sig w:usb0="00000001" w:usb1="080E0000" w:usb2="00000000" w:usb3="00000000" w:csb0="00040000" w:csb1="00000000"/>
  </w:font>
  <w:font w:name="黑体">
    <w:altName w:val="方正黑体_GBK"/>
    <w:panose1 w:val="02010609060101010101"/>
    <w:charset w:val="86"/>
    <w:family w:val="auto"/>
    <w:pitch w:val="variable"/>
    <w:sig w:usb0="800002BF" w:usb1="38CF7CFA" w:usb2="00000016" w:usb3="00000000" w:csb0="00040001" w:csb1="00000000"/>
  </w:font>
  <w:font w:name="楷体_GB2312">
    <w:panose1 w:val="02010609030101010101"/>
    <w:charset w:val="86"/>
    <w:family w:val="auto"/>
    <w:pitch w:val="variable"/>
    <w:sig w:usb0="00000001" w:usb1="080E0000" w:usb2="00000000" w:usb3="00000000" w:csb0="00040000" w:csb1="00000000"/>
  </w:font>
  <w:font w:name="Times New Roman">
    <w:altName w:val="DejaVu Sans"/>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080E0000" w:usb2="00000000" w:usb3="00000000" w:csb0="00040001" w:csb1="00000000"/>
  </w:font>
  <w:font w:name="Calibri">
    <w:altName w:val="微软雅黑"/>
    <w:panose1 w:val="020F0502020204030204"/>
    <w:charset w:val="00"/>
    <w:family w:val="swiss"/>
    <w:pitch w:val="variable"/>
    <w:sig w:usb0="00000000" w:usb1="00000000" w:usb2="00000001" w:usb3="00000000" w:csb0="0000019F" w:csb1="00000000"/>
  </w:font>
  <w:font w:name="Arial">
    <w:altName w:val="DejaVu Sans"/>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mc:AlternateContent>
        <mc:Choice Requires="wps">
          <w:drawing>
            <wp:anchor distT="0" distB="0" distL="114298" distR="114298" simplePos="0" relativeHeight="12" behindDoc="0" locked="0" layoutInCell="1" hidden="0" allowOverlap="1">
              <wp:simplePos x="0" y="0"/>
              <wp:positionH relativeFrom="margin">
                <wp:align>outside</wp:align>
              </wp:positionH>
              <wp:positionV relativeFrom="paragraph">
                <wp:posOffset>0</wp:posOffset>
              </wp:positionV>
              <wp:extent cx="389382" cy="319634"/>
              <wp:effectExtent l="0" t="0" r="0" b="0"/>
              <wp:wrapNone/>
              <wp:docPr id="1" name="文本框 1"/>
              <wp:cNvGraphicFramePr>
                <a:graphicFrameLocks noChangeAspect="0"/>
              </wp:cNvGraphicFramePr>
              <a:graphic>
                <a:graphicData uri="http://schemas.microsoft.com/office/word/2010/wordprocessingShape">
                  <wps:wsp>
                    <wps:cNvSpPr/>
                    <wps:spPr>
                      <a:xfrm rot="0">
                        <a:off x="0" y="0"/>
                        <a:ext cx="389382" cy="319634"/>
                      </a:xfrm>
                      <a:prstGeom prst="rect"/>
                      <a:noFill/>
                      <a:ln w="6350" cmpd="sng" cap="flat">
                        <a:noFill/>
                        <a:prstDash val="solid"/>
                        <a:round/>
                      </a:ln>
                    </wps:spPr>
                    <wps:txbx id="2">
                      <w:txbxContent>
                        <w:p>
                          <w:pPr>
                            <w:pStyle w:val="16"/>
                            <w:tabs>
                              <w:tab w:val="center" w:pos="4153"/>
                              <w:tab w:val="right" w:pos="8306"/>
                            </w:tabs>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- 11 -</w:t>
                          </w:r>
                          <w:r>
                            <w:rPr>
                              <w:sz w:val="30"/>
                              <w:szCs w:val="30"/>
                            </w:rPr>
                            <w:fldChar w:fldCharType="end"/>
                          </w:r>
                        </w:p>
                      </w:txbxContent>
                    </wps:txbx>
                    <wps:bodyPr vert="horz" wrap="none" lIns="0" tIns="0" rIns="0" bIns="0" anchor="t" anchorCtr="0" upright="0">
                      <a:spAutoFit/>
                    </wps:bodyPr>
                  </wps:wsp>
                </a:graphicData>
              </a:graphic>
            </wp:anchor>
          </w:drawing>
        </mc:Choice>
        <mc:Fallback>
          <w:pict>
            <v:rect type="#_x0000_t1" id="文本框 1 3" o:spid="_x0000_s3" filled="f" stroked="f" strokeweight="0.5pt" style="position:absolute;margin-left:0.0pt;margin-top:0.0pt;width:30.66004pt;height:25.168104pt;z-index:12;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6"/>
                      <w:tabs>
                        <w:tab w:val="center" w:pos="4153"/>
                        <w:tab w:val="right" w:pos="8306"/>
                      </w:tabs>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- 11 -</w:t>
                    </w:r>
                    <w:r>
                      <w:rPr>
                        <w:sz w:val="30"/>
                        <w:szCs w:val="30"/>
                      </w:rPr>
                      <w:fldChar w:fldCharType="end"/>
                    </w:r>
                  </w:p>
                </w:txbxContent>
              </v:textbox>
            </v:rect>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4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宋体" w:eastAsia="黑体" w:hAnsi="宋体"/>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index 5"/>
    <w:basedOn w:val="0"/>
    <w:next w:val="0"/>
    <w:pPr>
      <w:ind w:left="1680"/>
    </w:pPr>
  </w:style>
  <w:style w:type="paragraph" w:styleId="16">
    <w:name w:val="footer"/>
    <w:basedOn w:val="0"/>
    <w:pPr>
      <w:tabs>
        <w:tab w:val="center" w:pos="4153"/>
        <w:tab w:val="right" w:pos="8306"/>
      </w:tabs>
      <w:snapToGrid w:val="0"/>
      <w:jc w:val="left"/>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pPr>
    <w:rPr>
      <w:sz w:val="18"/>
    </w:rPr>
  </w:style>
  <w:style w:type="paragraph" w:styleId="18">
    <w:name w:val="Normal (Web)"/>
    <w:basedOn w:val="0"/>
    <w:next w:val="15"/>
    <w:pPr>
      <w:widowControl w:val="0"/>
      <w:spacing w:before="0" w:beforeAutospacing="1" w:after="0" w:afterAutospacing="1"/>
      <w:ind w:left="0" w:right="0"/>
      <w:jc w:val="left"/>
    </w:pPr>
    <w:rPr>
      <w:rFonts w:ascii="Calibri" w:eastAsia="宋体" w:cs="Arial" w:hAnsi="Calibri"/>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446</TotalTime>
  <Application>Yozo_Office27021597764231179</Application>
  <Pages>8</Pages>
  <Words>3017</Words>
  <Characters>3182</Characters>
  <Lines>464</Lines>
  <Paragraphs>309</Paragraphs>
  <CharactersWithSpaces>3182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user</dc:creator>
  <cp:lastModifiedBy>user</cp:lastModifiedBy>
  <cp:revision>107</cp:revision>
  <cp:lastPrinted>2022-01-29T14:50:00Z</cp:lastPrinted>
  <dcterms:created xsi:type="dcterms:W3CDTF">2021-11-27T17:54:00Z</dcterms:created>
  <dcterms:modified xsi:type="dcterms:W3CDTF">2023-01-19T02:28:50Z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2052-11.8.2.10953</vt:lpwstr>
  </property>
</Properties>
</file>