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pP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fldChar w:fldCharType="begin"/>
      </w: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instrText xml:space="preserve"> HYPERLINK "http://www.yzq.gov.cn/xxgk-show-543066.html" \o "袁州区飞剑潭乡人民政府2020年度政府信息公开工作年度报告" \t "http://ycqxyi.shuzibao.com/_blank" </w:instrText>
      </w: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fldChar w:fldCharType="separate"/>
      </w: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t>袁州区飞剑潭乡人民政府2020年度政府信息公开工作年度报告</w:t>
      </w:r>
      <w:r>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baseline"/>
        <w:rPr>
          <w:rFonts w:hint="eastAsia" w:ascii="方正小标宋简体" w:hAnsi="方正小标宋简体" w:eastAsia="方正小标宋简体" w:cs="方正小标宋简体"/>
          <w:i w:val="0"/>
          <w:iCs w:val="0"/>
          <w:caps w:val="0"/>
          <w:color w:val="auto"/>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ascii="微软雅黑" w:hAnsi="微软雅黑" w:eastAsia="微软雅黑" w:cs="微软雅黑"/>
          <w:i w:val="0"/>
          <w:iCs w:val="0"/>
          <w:caps w:val="0"/>
          <w:color w:val="auto"/>
          <w:spacing w:val="0"/>
          <w:sz w:val="27"/>
          <w:szCs w:val="27"/>
        </w:rPr>
      </w:pPr>
      <w:r>
        <w:rPr>
          <w:rFonts w:ascii="仿宋_GB2312" w:hAnsi="仿宋_GB2312" w:eastAsia="仿宋_GB2312" w:cs="仿宋_GB2312"/>
          <w:i w:val="0"/>
          <w:iCs w:val="0"/>
          <w:caps w:val="0"/>
          <w:color w:val="auto"/>
          <w:spacing w:val="0"/>
          <w:sz w:val="31"/>
          <w:szCs w:val="31"/>
          <w:shd w:val="clear" w:fill="FFFFFF"/>
          <w:vertAlign w:val="baseline"/>
        </w:rPr>
        <w:t>本报告依据《中华人民共和国政府信息公开条例》（以下简称《条例》）和《国务院办公厅政府信息与政务公开办公室关于政府信息公开工作年度报告有关事项的通知》（国办公开办函〔</w:t>
      </w:r>
      <w:r>
        <w:rPr>
          <w:rFonts w:hint="eastAsia" w:ascii="仿宋_GB2312" w:hAnsi="仿宋_GB2312" w:eastAsia="仿宋_GB2312" w:cs="仿宋_GB2312"/>
          <w:i w:val="0"/>
          <w:iCs w:val="0"/>
          <w:caps w:val="0"/>
          <w:color w:val="auto"/>
          <w:spacing w:val="0"/>
          <w:sz w:val="31"/>
          <w:szCs w:val="31"/>
          <w:shd w:val="clear" w:fill="FFFFFF"/>
          <w:vertAlign w:val="baseline"/>
        </w:rPr>
        <w:t>2019〕60号）要求，综合乡政府各部门政府信息公开工作情况编制而成。报告由总体情况、主动公开政府信息情况、收到和处理政府信息公开申请情况、因政府信息公开工作被申请行政复议提起行政诉讼情况、存在的主要问题及改进情况、其他需要报告的事项等六部分组成。报告所列数据统计期限自2020年1月1日至2020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auto"/>
          <w:spacing w:val="0"/>
          <w:sz w:val="27"/>
          <w:szCs w:val="27"/>
        </w:rPr>
      </w:pPr>
      <w:r>
        <w:rPr>
          <w:rFonts w:ascii="黑体" w:hAnsi="宋体" w:eastAsia="黑体" w:cs="黑体"/>
          <w:i w:val="0"/>
          <w:iCs w:val="0"/>
          <w:caps w:val="0"/>
          <w:color w:val="auto"/>
          <w:spacing w:val="0"/>
          <w:sz w:val="31"/>
          <w:szCs w:val="31"/>
          <w:shd w:val="clear" w:fill="FFFFFF"/>
          <w:vertAlign w:val="baseline"/>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auto"/>
          <w:spacing w:val="0"/>
          <w:sz w:val="27"/>
          <w:szCs w:val="27"/>
        </w:rPr>
      </w:pPr>
      <w:r>
        <w:rPr>
          <w:rFonts w:hint="eastAsia" w:ascii="仿宋_GB2312" w:hAnsi="仿宋_GB2312" w:eastAsia="仿宋_GB2312" w:cs="仿宋_GB2312"/>
          <w:i w:val="0"/>
          <w:iCs w:val="0"/>
          <w:caps w:val="0"/>
          <w:color w:val="auto"/>
          <w:spacing w:val="0"/>
          <w:sz w:val="31"/>
          <w:szCs w:val="31"/>
          <w:shd w:val="clear" w:fill="FFFFFF"/>
          <w:vertAlign w:val="baseline"/>
        </w:rPr>
        <w:t>2020年，全乡坚持以习近平新时代中国特色社会主义思想为指导，深入学习贯彻《条例》，落实党中央国务院及省委省政府关于全面推进政务公开的决策部署，紧扣政务公开工作的每一个环节，着力细化部署，加强平台建设，深化重点领域信息公开，快速推进基层政务公开标准化规范化建设，强化监督保</w:t>
      </w:r>
      <w:bookmarkStart w:id="0" w:name="_GoBack"/>
      <w:bookmarkEnd w:id="0"/>
      <w:r>
        <w:rPr>
          <w:rFonts w:hint="eastAsia" w:ascii="仿宋_GB2312" w:hAnsi="仿宋_GB2312" w:eastAsia="仿宋_GB2312" w:cs="仿宋_GB2312"/>
          <w:i w:val="0"/>
          <w:iCs w:val="0"/>
          <w:caps w:val="0"/>
          <w:color w:val="auto"/>
          <w:spacing w:val="0"/>
          <w:sz w:val="31"/>
          <w:szCs w:val="31"/>
          <w:shd w:val="clear" w:fill="FFFFFF"/>
          <w:vertAlign w:val="baseline"/>
        </w:rPr>
        <w:t>障，各项工作有序进行，呈现出起步稳、进步大的良好局面。</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ascii="楷体_GB2312" w:hAnsi="楷体_GB2312" w:eastAsia="楷体_GB2312" w:cs="楷体_GB2312"/>
          <w:i w:val="0"/>
          <w:iCs w:val="0"/>
          <w:caps w:val="0"/>
          <w:color w:val="auto"/>
          <w:spacing w:val="0"/>
          <w:sz w:val="31"/>
          <w:szCs w:val="31"/>
          <w:shd w:val="clear" w:fill="FFFFFF"/>
        </w:rPr>
        <w:t>（一）主动公开情况。</w:t>
      </w:r>
      <w:r>
        <w:rPr>
          <w:rFonts w:hint="eastAsia" w:ascii="仿宋_GB2312" w:hAnsi="仿宋_GB2312" w:eastAsia="仿宋_GB2312" w:cs="仿宋_GB2312"/>
          <w:i w:val="0"/>
          <w:iCs w:val="0"/>
          <w:caps w:val="0"/>
          <w:color w:val="auto"/>
          <w:spacing w:val="0"/>
          <w:sz w:val="31"/>
          <w:szCs w:val="31"/>
          <w:shd w:val="clear" w:fill="FFFFFF"/>
        </w:rPr>
        <w:t>坚持“公开是常态，不公开是例外”，不断优化、细化公开目录体系，积极做好政府信息主动公开工作。</w:t>
      </w:r>
      <w:r>
        <w:rPr>
          <w:rFonts w:hint="eastAsia" w:ascii="仿宋_GB2312" w:hAnsi="仿宋_GB2312" w:eastAsia="仿宋_GB2312" w:cs="仿宋_GB2312"/>
          <w:i w:val="0"/>
          <w:iCs w:val="0"/>
          <w:caps w:val="0"/>
          <w:color w:val="auto"/>
          <w:spacing w:val="0"/>
          <w:sz w:val="31"/>
          <w:szCs w:val="31"/>
          <w:shd w:val="clear" w:fill="FFFFFF"/>
        </w:rPr>
        <w:t>2020年，我乡大力推进政府信息公开工作，完善各项规章制度，及时更新政府公开信息，使政府信息公开工作进一步规范化、制度化，同时对本乡各部门信息进行了梳理和编目，2020年1月1日至2020年12月31日，我乡累计主动公开政府信息 61条，公开内容涉及机构概况、人事信息、政务动态、公告公示、政策法规、规划计划、行政执法、解读回应、社会救助、社会福利等方面。在政府信息主动公开过程中，我乡及时通过政务信息公示栏将一批涉及民生、重点项目等社会普遍关注的内容和事关民情民生、社会热点等方面的信息主动向社会公开。通过对公开信息内容的规范，回应群众关心关注的热点难点问题，保障公民的知情权、参与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auto"/>
          <w:spacing w:val="0"/>
          <w:sz w:val="27"/>
          <w:szCs w:val="27"/>
        </w:rPr>
      </w:pPr>
      <w:r>
        <w:rPr>
          <w:rStyle w:val="5"/>
          <w:rFonts w:hint="eastAsia" w:ascii="楷体_GB2312" w:hAnsi="楷体_GB2312" w:eastAsia="楷体_GB2312" w:cs="楷体_GB2312"/>
          <w:i w:val="0"/>
          <w:iCs w:val="0"/>
          <w:caps w:val="0"/>
          <w:color w:val="auto"/>
          <w:spacing w:val="0"/>
          <w:sz w:val="31"/>
          <w:szCs w:val="31"/>
          <w:shd w:val="clear" w:fill="FFFFFF"/>
          <w:vertAlign w:val="baseline"/>
        </w:rPr>
        <w:t>（二）依申请公开情况。</w:t>
      </w:r>
      <w:r>
        <w:rPr>
          <w:rFonts w:hint="eastAsia" w:ascii="仿宋_GB2312" w:hAnsi="仿宋_GB2312" w:eastAsia="仿宋_GB2312" w:cs="仿宋_GB2312"/>
          <w:i w:val="0"/>
          <w:iCs w:val="0"/>
          <w:caps w:val="0"/>
          <w:color w:val="auto"/>
          <w:spacing w:val="0"/>
          <w:sz w:val="31"/>
          <w:szCs w:val="31"/>
          <w:shd w:val="clear" w:fill="FFFFFF"/>
          <w:vertAlign w:val="baseline"/>
        </w:rPr>
        <w:t>进一步规范依申请公开接收、登记、办理、审核、答复、归档等各项工作，畅通依申请公开办理通道。我乡2020年度接自然人依申请公开信息0条，尚未发生因政府信息公开工作被申请行政复议、行政诉讼等情况。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hint="eastAsia" w:ascii="楷体_GB2312" w:hAnsi="楷体_GB2312" w:eastAsia="楷体_GB2312" w:cs="楷体_GB2312"/>
          <w:i w:val="0"/>
          <w:iCs w:val="0"/>
          <w:caps w:val="0"/>
          <w:color w:val="auto"/>
          <w:spacing w:val="0"/>
          <w:sz w:val="31"/>
          <w:szCs w:val="31"/>
          <w:shd w:val="clear" w:fill="FFFFFF"/>
        </w:rPr>
        <w:t>（三）政府信息管理。</w:t>
      </w:r>
      <w:r>
        <w:rPr>
          <w:rFonts w:hint="eastAsia" w:ascii="仿宋_GB2312" w:hAnsi="仿宋_GB2312" w:eastAsia="仿宋_GB2312" w:cs="仿宋_GB2312"/>
          <w:i w:val="0"/>
          <w:iCs w:val="0"/>
          <w:caps w:val="0"/>
          <w:color w:val="auto"/>
          <w:spacing w:val="0"/>
          <w:sz w:val="31"/>
          <w:szCs w:val="31"/>
          <w:shd w:val="clear" w:fill="FFFFFF"/>
        </w:rPr>
        <w:t>认真做好政务公开培训工作，切实加强政务公开工作的组织领导，把政府信息公开、民生、扶贫等重点工作同谋划同推进，确保我乡政务公开工作健康有序开展。同时对信息进行梳理，建立规范化制度，将信息分为主动公开、依法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hint="eastAsia" w:ascii="楷体_GB2312" w:hAnsi="楷体_GB2312" w:eastAsia="楷体_GB2312" w:cs="楷体_GB2312"/>
          <w:i w:val="0"/>
          <w:iCs w:val="0"/>
          <w:caps w:val="0"/>
          <w:color w:val="auto"/>
          <w:spacing w:val="0"/>
          <w:sz w:val="31"/>
          <w:szCs w:val="31"/>
          <w:shd w:val="clear" w:fill="FFFFFF"/>
        </w:rPr>
        <w:t>（四）公开平台建设。</w:t>
      </w:r>
      <w:r>
        <w:rPr>
          <w:rFonts w:hint="eastAsia" w:ascii="仿宋_GB2312" w:hAnsi="仿宋_GB2312" w:eastAsia="仿宋_GB2312" w:cs="仿宋_GB2312"/>
          <w:i w:val="0"/>
          <w:iCs w:val="0"/>
          <w:caps w:val="0"/>
          <w:color w:val="auto"/>
          <w:spacing w:val="0"/>
          <w:sz w:val="31"/>
          <w:szCs w:val="31"/>
        </w:rPr>
        <w:t>我乡积极联合组织各办公室共同制订完善了《飞剑潭乡政务公开制度》，规范信息公开工作。同时按照“规范、实用、明了、方便”的原则，在便民服务中心大厅打造了集信息公开、自助办理、查阅获取于一体的政务公开体验区，搭建服务平台，为推进政务公开工作打实基础，主动服务“再升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textAlignment w:val="baseline"/>
        <w:rPr>
          <w:rFonts w:hint="eastAsia" w:ascii="微软雅黑" w:hAnsi="微软雅黑" w:eastAsia="微软雅黑" w:cs="微软雅黑"/>
          <w:i w:val="0"/>
          <w:iCs w:val="0"/>
          <w:caps w:val="0"/>
          <w:color w:val="auto"/>
          <w:spacing w:val="0"/>
          <w:sz w:val="27"/>
          <w:szCs w:val="27"/>
        </w:rPr>
      </w:pPr>
      <w:r>
        <w:rPr>
          <w:rStyle w:val="5"/>
          <w:rFonts w:hint="eastAsia" w:ascii="楷体_GB2312" w:hAnsi="楷体_GB2312" w:eastAsia="楷体_GB2312" w:cs="楷体_GB2312"/>
          <w:i w:val="0"/>
          <w:iCs w:val="0"/>
          <w:caps w:val="0"/>
          <w:color w:val="auto"/>
          <w:spacing w:val="0"/>
          <w:sz w:val="31"/>
          <w:szCs w:val="31"/>
          <w:shd w:val="clear" w:fill="FFFFFF"/>
          <w:vertAlign w:val="baseline"/>
        </w:rPr>
        <w:t>（五）保障监督情况。</w:t>
      </w:r>
      <w:r>
        <w:rPr>
          <w:rFonts w:hint="eastAsia" w:ascii="仿宋_GB2312" w:hAnsi="仿宋_GB2312" w:eastAsia="仿宋_GB2312" w:cs="仿宋_GB2312"/>
          <w:i w:val="0"/>
          <w:iCs w:val="0"/>
          <w:caps w:val="0"/>
          <w:color w:val="auto"/>
          <w:spacing w:val="0"/>
          <w:sz w:val="31"/>
          <w:szCs w:val="31"/>
          <w:shd w:val="clear" w:fill="FFFFFF"/>
          <w:vertAlign w:val="baseline"/>
        </w:rPr>
        <w:t>加强组织领导，及时调整全乡政务公开领导小组，加强队伍建设。根据新修订的《条例》，修订完善信息发布、政策解读、重大决策预公开、政府文件公开属性源头认定、依申请公开、监督考核等制度规范。</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auto"/>
          <w:spacing w:val="0"/>
          <w:sz w:val="27"/>
          <w:szCs w:val="27"/>
        </w:rPr>
      </w:pPr>
      <w:r>
        <w:rPr>
          <w:rFonts w:hint="eastAsia" w:ascii="黑体" w:hAnsi="宋体" w:eastAsia="黑体" w:cs="黑体"/>
          <w:i w:val="0"/>
          <w:iCs w:val="0"/>
          <w:caps w:val="0"/>
          <w:color w:val="auto"/>
          <w:spacing w:val="0"/>
          <w:sz w:val="31"/>
          <w:szCs w:val="31"/>
          <w:shd w:val="clear" w:fill="FFFFFF"/>
        </w:rPr>
        <w:t> 二、主动公开政府信息情况</w:t>
      </w:r>
    </w:p>
    <w:tbl>
      <w:tblPr>
        <w:tblStyle w:val="3"/>
        <w:tblW w:w="8145" w:type="dxa"/>
        <w:tblInd w:w="0" w:type="dxa"/>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ascii="微软雅黑" w:hAnsi="微软雅黑" w:eastAsia="微软雅黑" w:cs="微软雅黑"/>
                <w:i w:val="0"/>
                <w:iCs w:val="0"/>
                <w:caps w:val="0"/>
                <w:color w:val="auto"/>
                <w:spacing w:val="0"/>
                <w:sz w:val="19"/>
                <w:szCs w:val="19"/>
              </w:rPr>
              <w:t>第二十条第（一）项</w:t>
            </w:r>
          </w:p>
        </w:tc>
      </w:tr>
      <w:tr>
        <w:tblPrEx>
          <w:shd w:val="clear" w:color="auto" w:fill="auto"/>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rFonts w:hint="eastAsia" w:ascii="微软雅黑" w:hAnsi="微软雅黑" w:eastAsia="微软雅黑" w:cs="微软雅黑"/>
                <w:i w:val="0"/>
                <w:iCs w:val="0"/>
                <w:caps w:val="0"/>
                <w:color w:val="auto"/>
                <w:spacing w:val="0"/>
                <w:sz w:val="19"/>
                <w:szCs w:val="19"/>
                <w:lang w:eastAsia="zh-CN"/>
              </w:rPr>
            </w:pPr>
            <w:r>
              <w:rPr>
                <w:rFonts w:hint="eastAsia" w:ascii="微软雅黑" w:hAnsi="微软雅黑" w:eastAsia="微软雅黑" w:cs="微软雅黑"/>
                <w:i w:val="0"/>
                <w:iCs w:val="0"/>
                <w:caps w:val="0"/>
                <w:color w:val="auto"/>
                <w:spacing w:val="0"/>
                <w:sz w:val="19"/>
                <w:szCs w:val="19"/>
              </w:rPr>
              <w:t>本年新</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rFonts w:hint="eastAsia" w:ascii="微软雅黑" w:hAnsi="微软雅黑" w:eastAsia="微软雅黑" w:cs="微软雅黑"/>
                <w:i w:val="0"/>
                <w:iCs w:val="0"/>
                <w:caps w:val="0"/>
                <w:color w:val="auto"/>
                <w:spacing w:val="0"/>
                <w:sz w:val="19"/>
                <w:szCs w:val="19"/>
                <w:lang w:eastAsia="zh-CN"/>
              </w:rPr>
            </w:pPr>
            <w:r>
              <w:rPr>
                <w:rFonts w:hint="eastAsia" w:ascii="微软雅黑" w:hAnsi="微软雅黑" w:eastAsia="微软雅黑" w:cs="微软雅黑"/>
                <w:i w:val="0"/>
                <w:iCs w:val="0"/>
                <w:caps w:val="0"/>
                <w:color w:val="auto"/>
                <w:spacing w:val="0"/>
                <w:sz w:val="19"/>
                <w:szCs w:val="19"/>
              </w:rPr>
              <w:t>本年新</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公开数量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对外公开总数量</w:t>
            </w:r>
          </w:p>
        </w:tc>
      </w:tr>
      <w:tr>
        <w:tblPrEx>
          <w:shd w:val="clear" w:color="auto" w:fill="auto"/>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规章</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shd w:val="clear" w:color="auto" w:fill="auto"/>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规范性文件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rFonts w:hint="eastAsia" w:eastAsiaTheme="minorEastAsia"/>
                <w:color w:val="auto"/>
                <w:lang w:eastAsia="zh-CN"/>
              </w:rPr>
            </w:pPr>
            <w:r>
              <w:rPr>
                <w:rFonts w:hint="eastAsia" w:ascii="微软雅黑" w:hAnsi="微软雅黑" w:eastAsia="微软雅黑" w:cs="微软雅黑"/>
                <w:i w:val="0"/>
                <w:iCs w:val="0"/>
                <w:caps w:val="0"/>
                <w:color w:val="auto"/>
                <w:spacing w:val="0"/>
                <w:sz w:val="24"/>
                <w:szCs w:val="24"/>
                <w:lang w:val="en-US" w:eastAsia="zh-CN"/>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rFonts w:hint="eastAsia" w:eastAsiaTheme="minorEastAsia"/>
                <w:color w:val="auto"/>
                <w:lang w:eastAsia="zh-CN"/>
              </w:rPr>
            </w:pPr>
            <w:r>
              <w:rPr>
                <w:rFonts w:hint="eastAsia" w:ascii="微软雅黑" w:hAnsi="微软雅黑" w:eastAsia="微软雅黑" w:cs="微软雅黑"/>
                <w:i w:val="0"/>
                <w:iCs w:val="0"/>
                <w:caps w:val="0"/>
                <w:color w:val="auto"/>
                <w:spacing w:val="0"/>
                <w:sz w:val="24"/>
                <w:szCs w:val="24"/>
                <w:lang w:val="en-US" w:eastAsia="zh-CN"/>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rFonts w:hint="eastAsia" w:eastAsiaTheme="minorEastAsia"/>
                <w:color w:val="auto"/>
                <w:lang w:eastAsia="zh-CN"/>
              </w:rPr>
            </w:pPr>
            <w:r>
              <w:rPr>
                <w:rFonts w:hint="eastAsia" w:ascii="微软雅黑" w:hAnsi="微软雅黑" w:eastAsia="微软雅黑" w:cs="微软雅黑"/>
                <w:i w:val="0"/>
                <w:iCs w:val="0"/>
                <w:caps w:val="0"/>
                <w:color w:val="auto"/>
                <w:spacing w:val="0"/>
                <w:sz w:val="24"/>
                <w:szCs w:val="24"/>
                <w:lang w:val="en-US" w:eastAsia="zh-CN"/>
              </w:rPr>
              <w:t>0</w:t>
            </w:r>
          </w:p>
        </w:tc>
      </w:tr>
      <w:tr>
        <w:tblPrEx>
          <w:shd w:val="clear" w:color="auto" w:fill="auto"/>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第二十条第（五）项</w:t>
            </w:r>
          </w:p>
        </w:tc>
      </w:tr>
      <w:tr>
        <w:tblPrEx>
          <w:shd w:val="clear" w:color="auto" w:fill="auto"/>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处理决定数量</w:t>
            </w:r>
          </w:p>
        </w:tc>
      </w:tr>
      <w:tr>
        <w:tblPrEx>
          <w:shd w:val="clear" w:color="auto" w:fill="auto"/>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行政许可</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shd w:val="clear" w:color="auto" w:fill="auto"/>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其他对外管理服务事项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第二十条第（六）项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处理决定数量</w:t>
            </w:r>
          </w:p>
        </w:tc>
      </w:tr>
      <w:tr>
        <w:tblPrEx>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行政处罚</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行政强制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第二十条第（八）项</w:t>
            </w:r>
          </w:p>
        </w:tc>
      </w:tr>
      <w:tr>
        <w:tblPrEx>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本年增/减</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行政事业性收费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第二十条第（九）项</w:t>
            </w:r>
          </w:p>
        </w:tc>
      </w:tr>
      <w:tr>
        <w:tblPrEx>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采购总金额</w:t>
            </w:r>
          </w:p>
        </w:tc>
      </w:tr>
      <w:tr>
        <w:tblPrEx>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政府集中采购</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ascii="Calibri" w:hAnsi="Calibri" w:eastAsia="Calibri" w:cs="Calibri"/>
                <w:i w:val="0"/>
                <w:iCs w:val="0"/>
                <w:caps w:val="0"/>
                <w:color w:val="auto"/>
                <w:spacing w:val="0"/>
                <w:sz w:val="24"/>
                <w:szCs w:val="24"/>
              </w:rPr>
              <w:t>0</w:t>
            </w:r>
          </w:p>
        </w:tc>
      </w:tr>
    </w:tbl>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auto"/>
          <w:spacing w:val="0"/>
          <w:sz w:val="27"/>
          <w:szCs w:val="27"/>
        </w:rPr>
      </w:pPr>
      <w:r>
        <w:rPr>
          <w:rFonts w:hint="eastAsia" w:ascii="宋体" w:hAnsi="宋体" w:eastAsia="宋体" w:cs="宋体"/>
          <w:i w:val="0"/>
          <w:iCs w:val="0"/>
          <w:caps w:val="0"/>
          <w:color w:val="auto"/>
          <w:spacing w:val="0"/>
          <w:sz w:val="31"/>
          <w:szCs w:val="31"/>
          <w:shd w:val="clear" w:fill="FFFFFF"/>
        </w:rPr>
        <w:t> </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Fonts w:hint="eastAsia" w:ascii="黑体" w:hAnsi="宋体" w:eastAsia="黑体" w:cs="黑体"/>
          <w:i w:val="0"/>
          <w:iCs w:val="0"/>
          <w:caps w:val="0"/>
          <w:color w:val="auto"/>
          <w:spacing w:val="0"/>
          <w:sz w:val="31"/>
          <w:szCs w:val="31"/>
          <w:shd w:val="clear" w:fill="FFFFFF"/>
        </w:rPr>
        <w:t>三、收到和处理政府信息公开申请情况</w:t>
      </w:r>
    </w:p>
    <w:tbl>
      <w:tblPr>
        <w:tblStyle w:val="3"/>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0"/>
        <w:gridCol w:w="853"/>
        <w:gridCol w:w="2097"/>
        <w:gridCol w:w="816"/>
        <w:gridCol w:w="757"/>
        <w:gridCol w:w="757"/>
        <w:gridCol w:w="816"/>
        <w:gridCol w:w="977"/>
        <w:gridCol w:w="713"/>
        <w:gridCol w:w="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2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自然人</w:t>
            </w:r>
          </w:p>
        </w:tc>
        <w:tc>
          <w:tcPr>
            <w:tcW w:w="4065"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法人或其他组织</w:t>
            </w:r>
          </w:p>
        </w:tc>
        <w:tc>
          <w:tcPr>
            <w:tcW w:w="705"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2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商业企业</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科研机构</w:t>
            </w:r>
          </w:p>
        </w:tc>
        <w:tc>
          <w:tcPr>
            <w:tcW w:w="82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社会公益组织</w:t>
            </w:r>
          </w:p>
        </w:tc>
        <w:tc>
          <w:tcPr>
            <w:tcW w:w="99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法律服务机构</w:t>
            </w:r>
          </w:p>
        </w:tc>
        <w:tc>
          <w:tcPr>
            <w:tcW w:w="7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其他</w:t>
            </w:r>
          </w:p>
        </w:tc>
        <w:tc>
          <w:tcPr>
            <w:tcW w:w="705"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一、本年新收政府信息公开申请数量</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1</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二、上年结转政府信息公开申请数量</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三、本年度办理结果</w:t>
            </w: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ascii="楷体" w:hAnsi="楷体" w:eastAsia="楷体" w:cs="楷体"/>
                <w:i w:val="0"/>
                <w:iCs w:val="0"/>
                <w:caps w:val="0"/>
                <w:color w:val="auto"/>
                <w:spacing w:val="0"/>
                <w:sz w:val="19"/>
                <w:szCs w:val="19"/>
              </w:rPr>
              <w:t>（一）予以公开</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1</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（二）部分公开（区分处理的，只计这一情形，不计其他情形）</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（三）不予公开</w:t>
            </w: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1.属于国家秘密</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2.其他法律行政法规禁止公开</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3.危及“三安全一稳定”</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4.保护第三方合法权益</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5.属于三类内部事务信息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6.属于四类过程性信息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7.属于行政执法案卷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8.属于行政查询事项</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（四）无法提供</w:t>
            </w: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1.本机关不掌握相关政府信息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2.没有现成信息需要另行制作</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3.补正后申请内容仍不明确</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（五）不予处理</w:t>
            </w: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1.信访举报投诉类申请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2.重复申请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3.要求提供公开出版物</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4.无正当理由大量反复申请</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855"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1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5.要求行政机关确认或重新出具已获取信息</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（六）其他处理</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2985"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楷体" w:hAnsi="楷体" w:eastAsia="楷体" w:cs="楷体"/>
                <w:i w:val="0"/>
                <w:iCs w:val="0"/>
                <w:caps w:val="0"/>
                <w:color w:val="auto"/>
                <w:spacing w:val="0"/>
                <w:sz w:val="19"/>
                <w:szCs w:val="19"/>
              </w:rPr>
              <w:t>（七）总计</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1</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19"/>
                <w:szCs w:val="19"/>
              </w:rPr>
              <w:t>四、结转下年度继续办理</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6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82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99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c>
          <w:tcPr>
            <w:tcW w:w="70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24"/>
                <w:szCs w:val="24"/>
              </w:rPr>
              <w:t>0</w:t>
            </w:r>
          </w:p>
        </w:tc>
      </w:tr>
    </w:tbl>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auto"/>
          <w:spacing w:val="0"/>
          <w:sz w:val="27"/>
          <w:szCs w:val="27"/>
        </w:rPr>
      </w:pPr>
      <w:r>
        <w:rPr>
          <w:rStyle w:val="5"/>
          <w:rFonts w:hint="eastAsia" w:ascii="微软雅黑" w:hAnsi="微软雅黑" w:eastAsia="微软雅黑" w:cs="微软雅黑"/>
          <w:i w:val="0"/>
          <w:iCs w:val="0"/>
          <w:caps w:val="0"/>
          <w:color w:val="auto"/>
          <w:spacing w:val="0"/>
          <w:sz w:val="24"/>
          <w:szCs w:val="24"/>
          <w:shd w:val="clear" w:fill="FFFFFF"/>
        </w:rPr>
        <w:t>         </w:t>
      </w:r>
      <w:r>
        <w:rPr>
          <w:rFonts w:hint="eastAsia" w:ascii="黑体" w:hAnsi="宋体" w:eastAsia="黑体" w:cs="黑体"/>
          <w:i w:val="0"/>
          <w:iCs w:val="0"/>
          <w:caps w:val="0"/>
          <w:color w:val="auto"/>
          <w:spacing w:val="0"/>
          <w:sz w:val="31"/>
          <w:szCs w:val="31"/>
          <w:shd w:val="clear" w:fill="FFFFFF"/>
        </w:rPr>
        <w:t>四、政府信息公开行政复议、行政诉讼情况</w:t>
      </w:r>
    </w:p>
    <w:tbl>
      <w:tblPr>
        <w:tblStyle w:val="3"/>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结果维持</w:t>
            </w:r>
          </w:p>
        </w:tc>
        <w:tc>
          <w:tcPr>
            <w:tcW w:w="600"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600"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660"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overflowPunct/>
              <w:topLinePunct w:val="0"/>
              <w:autoSpaceDE/>
              <w:autoSpaceDN/>
              <w:bidi w:val="0"/>
              <w:adjustRightInd/>
              <w:snapToGrid/>
              <w:spacing w:before="0" w:after="0" w:line="560" w:lineRule="exact"/>
              <w:rPr>
                <w:rFonts w:hint="eastAsia" w:ascii="微软雅黑" w:hAnsi="微软雅黑" w:eastAsia="微软雅黑" w:cs="微软雅黑"/>
                <w:i w:val="0"/>
                <w:iCs w:val="0"/>
                <w:caps w:val="0"/>
                <w:color w:val="auto"/>
                <w:spacing w:val="0"/>
                <w:sz w:val="27"/>
                <w:szCs w:val="27"/>
              </w:rPr>
            </w:pP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结果维持</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总计</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结果维持</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结果纠正</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其他结果</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尚未审结</w:t>
            </w:r>
          </w:p>
        </w:tc>
        <w:tc>
          <w:tcPr>
            <w:tcW w:w="6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jc w:val="center"/>
              <w:rPr>
                <w:color w:val="auto"/>
              </w:rPr>
            </w:pPr>
            <w:r>
              <w:rPr>
                <w:rFonts w:hint="eastAsia" w:ascii="微软雅黑" w:hAnsi="微软雅黑" w:eastAsia="微软雅黑" w:cs="微软雅黑"/>
                <w:i w:val="0"/>
                <w:iCs w:val="0"/>
                <w:caps w:val="0"/>
                <w:color w:val="auto"/>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6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55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c>
          <w:tcPr>
            <w:tcW w:w="6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rPr>
                <w:color w:val="auto"/>
              </w:rPr>
            </w:pPr>
            <w:r>
              <w:rPr>
                <w:rFonts w:hint="eastAsia" w:ascii="微软雅黑" w:hAnsi="微软雅黑" w:eastAsia="微软雅黑" w:cs="微软雅黑"/>
                <w:i w:val="0"/>
                <w:iCs w:val="0"/>
                <w:caps w:val="0"/>
                <w:color w:val="auto"/>
                <w:spacing w:val="0"/>
                <w:sz w:val="24"/>
                <w:szCs w:val="24"/>
              </w:rPr>
              <w:t>0</w:t>
            </w:r>
          </w:p>
        </w:tc>
      </w:tr>
    </w:tbl>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0"/>
        <w:rPr>
          <w:rFonts w:hint="eastAsia" w:ascii="微软雅黑" w:hAnsi="微软雅黑" w:eastAsia="微软雅黑" w:cs="微软雅黑"/>
          <w:i w:val="0"/>
          <w:iCs w:val="0"/>
          <w:caps w:val="0"/>
          <w:color w:val="auto"/>
          <w:spacing w:val="0"/>
          <w:sz w:val="27"/>
          <w:szCs w:val="27"/>
        </w:rPr>
      </w:pPr>
      <w:r>
        <w:rPr>
          <w:rFonts w:hint="eastAsia" w:ascii="宋体" w:hAnsi="宋体" w:eastAsia="宋体" w:cs="宋体"/>
          <w:i w:val="0"/>
          <w:iCs w:val="0"/>
          <w:caps w:val="0"/>
          <w:color w:val="auto"/>
          <w:spacing w:val="0"/>
          <w:sz w:val="31"/>
          <w:szCs w:val="31"/>
          <w:shd w:val="clear" w:fill="FFFFFF"/>
        </w:rPr>
        <w:t>  </w:t>
      </w:r>
      <w:r>
        <w:rPr>
          <w:rFonts w:hint="eastAsia" w:ascii="黑体" w:hAnsi="宋体" w:eastAsia="黑体" w:cs="黑体"/>
          <w:i w:val="0"/>
          <w:iCs w:val="0"/>
          <w:caps w:val="0"/>
          <w:color w:val="auto"/>
          <w:spacing w:val="0"/>
          <w:sz w:val="31"/>
          <w:szCs w:val="31"/>
          <w:shd w:val="clear" w:fill="FFFFFF"/>
        </w:rPr>
        <w:t>五、存在的主要问题及改进情况</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hint="eastAsia" w:ascii="仿宋_GB2312" w:hAnsi="仿宋_GB2312" w:eastAsia="仿宋_GB2312" w:cs="仿宋_GB2312"/>
          <w:i w:val="0"/>
          <w:iCs w:val="0"/>
          <w:caps w:val="0"/>
          <w:color w:val="auto"/>
          <w:spacing w:val="0"/>
          <w:sz w:val="31"/>
          <w:szCs w:val="31"/>
          <w:shd w:val="clear" w:fill="FFFFFF"/>
        </w:rPr>
        <w:t>存在问题：</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480"/>
        <w:rPr>
          <w:rFonts w:hint="eastAsia" w:ascii="微软雅黑" w:hAnsi="微软雅黑" w:eastAsia="微软雅黑" w:cs="微软雅黑"/>
          <w:i w:val="0"/>
          <w:iCs w:val="0"/>
          <w:caps w:val="0"/>
          <w:color w:val="auto"/>
          <w:spacing w:val="0"/>
          <w:sz w:val="27"/>
          <w:szCs w:val="27"/>
        </w:rPr>
      </w:pPr>
      <w:r>
        <w:rPr>
          <w:rFonts w:hint="eastAsia" w:ascii="仿宋_GB2312" w:hAnsi="仿宋_GB2312" w:eastAsia="仿宋_GB2312" w:cs="仿宋_GB2312"/>
          <w:i w:val="0"/>
          <w:iCs w:val="0"/>
          <w:caps w:val="0"/>
          <w:color w:val="auto"/>
          <w:spacing w:val="0"/>
          <w:sz w:val="31"/>
          <w:szCs w:val="31"/>
          <w:shd w:val="clear" w:fill="FFFFFF"/>
        </w:rPr>
        <w:t>1. 制度有待进一步完善。</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480"/>
        <w:rPr>
          <w:rFonts w:hint="eastAsia" w:ascii="微软雅黑" w:hAnsi="微软雅黑" w:eastAsia="微软雅黑" w:cs="微软雅黑"/>
          <w:i w:val="0"/>
          <w:iCs w:val="0"/>
          <w:caps w:val="0"/>
          <w:color w:val="auto"/>
          <w:spacing w:val="0"/>
          <w:sz w:val="27"/>
          <w:szCs w:val="27"/>
        </w:rPr>
      </w:pPr>
      <w:r>
        <w:rPr>
          <w:rFonts w:hint="eastAsia" w:ascii="仿宋_GB2312" w:hAnsi="仿宋_GB2312" w:eastAsia="仿宋_GB2312" w:cs="仿宋_GB2312"/>
          <w:i w:val="0"/>
          <w:iCs w:val="0"/>
          <w:caps w:val="0"/>
          <w:color w:val="auto"/>
          <w:spacing w:val="0"/>
          <w:sz w:val="31"/>
          <w:szCs w:val="31"/>
          <w:shd w:val="clear" w:fill="FFFFFF"/>
        </w:rPr>
        <w:t>2. 流程有待进一步规范。</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60" w:lineRule="exact"/>
        <w:ind w:left="0" w:right="0" w:firstLine="480"/>
        <w:rPr>
          <w:rFonts w:hint="eastAsia" w:ascii="微软雅黑" w:hAnsi="微软雅黑" w:eastAsia="微软雅黑" w:cs="微软雅黑"/>
          <w:i w:val="0"/>
          <w:iCs w:val="0"/>
          <w:caps w:val="0"/>
          <w:color w:val="auto"/>
          <w:spacing w:val="0"/>
          <w:sz w:val="27"/>
          <w:szCs w:val="27"/>
        </w:rPr>
      </w:pPr>
      <w:r>
        <w:rPr>
          <w:rFonts w:hint="eastAsia" w:ascii="仿宋_GB2312" w:hAnsi="仿宋_GB2312" w:eastAsia="仿宋_GB2312" w:cs="仿宋_GB2312"/>
          <w:i w:val="0"/>
          <w:iCs w:val="0"/>
          <w:caps w:val="0"/>
          <w:color w:val="auto"/>
          <w:spacing w:val="0"/>
          <w:sz w:val="31"/>
          <w:szCs w:val="31"/>
          <w:shd w:val="clear" w:fill="FFFFFF"/>
        </w:rPr>
        <w:t>3. 队伍建设有待进一步加强。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hint="eastAsia" w:ascii="仿宋_GB2312" w:hAnsi="仿宋_GB2312" w:eastAsia="仿宋_GB2312" w:cs="仿宋_GB2312"/>
          <w:i w:val="0"/>
          <w:iCs w:val="0"/>
          <w:caps w:val="0"/>
          <w:color w:val="auto"/>
          <w:spacing w:val="0"/>
          <w:sz w:val="31"/>
          <w:szCs w:val="31"/>
        </w:rPr>
        <w:t>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hint="eastAsia" w:ascii="仿宋_GB2312" w:hAnsi="仿宋_GB2312" w:eastAsia="仿宋_GB2312" w:cs="仿宋_GB2312"/>
          <w:i w:val="0"/>
          <w:iCs w:val="0"/>
          <w:caps w:val="0"/>
          <w:color w:val="auto"/>
          <w:spacing w:val="0"/>
          <w:sz w:val="31"/>
          <w:szCs w:val="31"/>
        </w:rPr>
        <w:t>1.</w:t>
      </w:r>
      <w:r>
        <w:rPr>
          <w:rFonts w:hint="eastAsia" w:ascii="仿宋_GB2312" w:hAnsi="仿宋_GB2312" w:eastAsia="仿宋_GB2312" w:cs="仿宋_GB2312"/>
          <w:i w:val="0"/>
          <w:iCs w:val="0"/>
          <w:caps w:val="0"/>
          <w:color w:val="auto"/>
          <w:spacing w:val="0"/>
          <w:sz w:val="31"/>
          <w:szCs w:val="31"/>
        </w:rPr>
        <w:t>进一步健全和完善政务公开制度，规范公开内容，提高公开质量。一是理顺工作机制，调整政务公开领导小组，做好牵头和协调，党政办和纪委负责监督检查。二是对照条例，进一步梳理我乡办理的行政事项，修改完善政务公开各项规章，促使我乡政务公开工作朝规范化、制度化方向发展。</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Style w:val="5"/>
          <w:rFonts w:hint="eastAsia" w:ascii="仿宋_GB2312" w:hAnsi="仿宋_GB2312" w:eastAsia="仿宋_GB2312" w:cs="仿宋_GB2312"/>
          <w:i w:val="0"/>
          <w:iCs w:val="0"/>
          <w:caps w:val="0"/>
          <w:color w:val="auto"/>
          <w:spacing w:val="0"/>
          <w:sz w:val="31"/>
          <w:szCs w:val="31"/>
        </w:rPr>
        <w:t>2.</w:t>
      </w:r>
      <w:r>
        <w:rPr>
          <w:rFonts w:hint="eastAsia" w:ascii="仿宋_GB2312" w:hAnsi="仿宋_GB2312" w:eastAsia="仿宋_GB2312" w:cs="仿宋_GB2312"/>
          <w:i w:val="0"/>
          <w:iCs w:val="0"/>
          <w:caps w:val="0"/>
          <w:color w:val="auto"/>
          <w:spacing w:val="0"/>
          <w:sz w:val="31"/>
          <w:szCs w:val="31"/>
        </w:rPr>
        <w:t>按照“统筹规划，突出重点，切合实际，稳步实施”的要求，在深化完善和巩固提高上下功夫，加大公开的力度。对我乡办理的行政事项进一步公开办事程序、办事标准、办事结果，并在工作质量、态度、时效等方面作出承诺，不断增强工作透明度。</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Fonts w:hint="eastAsia" w:ascii="仿宋_GB2312" w:hAnsi="仿宋_GB2312" w:eastAsia="仿宋_GB2312" w:cs="仿宋_GB2312"/>
          <w:i w:val="0"/>
          <w:iCs w:val="0"/>
          <w:caps w:val="0"/>
          <w:color w:val="auto"/>
          <w:spacing w:val="0"/>
          <w:sz w:val="31"/>
          <w:szCs w:val="31"/>
        </w:rPr>
        <w:t>3.加强学习，工作人员要熟知办事流程，且要求多从办事者的角度出发，将整个办事流程详细告知群众，对每个环节的疑难作出说明解释。借助网络手段，设置完整直观的政务办理服务指南，让群众一目了然，方便办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baseline"/>
        <w:rPr>
          <w:rFonts w:hint="eastAsia" w:ascii="微软雅黑" w:hAnsi="微软雅黑" w:eastAsia="微软雅黑" w:cs="微软雅黑"/>
          <w:i w:val="0"/>
          <w:iCs w:val="0"/>
          <w:caps w:val="0"/>
          <w:color w:val="auto"/>
          <w:spacing w:val="0"/>
          <w:sz w:val="27"/>
          <w:szCs w:val="27"/>
        </w:rPr>
      </w:pPr>
      <w:r>
        <w:rPr>
          <w:rFonts w:hint="eastAsia" w:ascii="黑体" w:hAnsi="宋体" w:eastAsia="黑体" w:cs="黑体"/>
          <w:i w:val="0"/>
          <w:iCs w:val="0"/>
          <w:caps w:val="0"/>
          <w:color w:val="auto"/>
          <w:spacing w:val="0"/>
          <w:sz w:val="31"/>
          <w:szCs w:val="31"/>
          <w:shd w:val="clear" w:fill="FFFFFF"/>
          <w:vertAlign w:val="baseline"/>
        </w:rPr>
        <w:t>六、其他需要报告的事项</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60" w:lineRule="exact"/>
        <w:ind w:left="0" w:right="0" w:firstLine="645"/>
        <w:rPr>
          <w:rFonts w:hint="eastAsia" w:ascii="微软雅黑" w:hAnsi="微软雅黑" w:eastAsia="微软雅黑" w:cs="微软雅黑"/>
          <w:i w:val="0"/>
          <w:iCs w:val="0"/>
          <w:caps w:val="0"/>
          <w:color w:val="auto"/>
          <w:spacing w:val="0"/>
          <w:sz w:val="27"/>
          <w:szCs w:val="27"/>
        </w:rPr>
      </w:pPr>
      <w:r>
        <w:rPr>
          <w:rFonts w:hint="eastAsia" w:ascii="仿宋_GB2312" w:hAnsi="仿宋_GB2312" w:eastAsia="仿宋_GB2312" w:cs="仿宋_GB2312"/>
          <w:i w:val="0"/>
          <w:iCs w:val="0"/>
          <w:caps w:val="0"/>
          <w:color w:val="auto"/>
          <w:spacing w:val="0"/>
          <w:sz w:val="31"/>
          <w:szCs w:val="31"/>
        </w:rPr>
        <w:t>无其他需要报告的事项。</w:t>
      </w:r>
    </w:p>
    <w:p>
      <w:pPr>
        <w:keepNext w:val="0"/>
        <w:keepLines w:val="0"/>
        <w:pageBreakBefore w:val="0"/>
        <w:kinsoku/>
        <w:overflowPunct/>
        <w:topLinePunct w:val="0"/>
        <w:autoSpaceDE/>
        <w:autoSpaceDN/>
        <w:bidi w:val="0"/>
        <w:adjustRightInd/>
        <w:snapToGrid/>
        <w:spacing w:line="560" w:lineRule="exact"/>
        <w:rPr>
          <w:color w:va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A76EF"/>
    <w:rsid w:val="227D1A4D"/>
    <w:rsid w:val="356B7719"/>
    <w:rsid w:val="747A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2021-04-27T07:28:00Z</dcterms:created>
  <dc:creator>大脚丫</dc:creator>
  <cp:lastModifiedBy>Administrator</cp:lastModifiedBy>
  <dcterms:modified xsi:type="dcterms:W3CDTF">2022-01-19T09:05:09Z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AF8E354A1DEA43CD9BE4F5FFB67AC01C</vt:lpwstr>
  </property>
</Properties>
</file>