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24"/>
          <w:szCs w:val="24"/>
        </w:rPr>
      </w:pPr>
      <w:r>
        <w:rPr>
          <w:rFonts w:hint="eastAsia" w:ascii="宋体" w:hAnsi="宋体" w:eastAsia="宋体" w:cs="宋体"/>
          <w:b/>
          <w:bCs/>
          <w:color w:val="333333"/>
          <w:kern w:val="0"/>
          <w:sz w:val="36"/>
          <w:szCs w:val="36"/>
          <w:shd w:val="clear" w:color="auto" w:fill="FFFFFF"/>
        </w:rPr>
        <w:t>袁州区工信委2017年</w:t>
      </w:r>
      <w:bookmarkStart w:id="0" w:name="_GoBack"/>
      <w:bookmarkEnd w:id="0"/>
      <w:r>
        <w:rPr>
          <w:rFonts w:hint="eastAsia" w:ascii="宋体" w:hAnsi="宋体" w:eastAsia="宋体" w:cs="宋体"/>
          <w:b/>
          <w:bCs/>
          <w:color w:val="333333"/>
          <w:kern w:val="0"/>
          <w:sz w:val="36"/>
          <w:szCs w:val="36"/>
          <w:shd w:val="clear" w:color="auto" w:fill="FFFFFF"/>
        </w:rPr>
        <w:t>政府信息公开工作年度报告</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xml:space="preserve">    本报告根据《中华人民共和国政府信息公开条例》和袁州区政府信息公开年度报告编制公开工作的要求编制，报告分为概述、政府信息公开情况、信息公开工作存在的主要问题、改进措施等四个部分。报告所列数据统计期限自2017年1月1日起至2017年12月31日止。本报告可在区人民政府网（</w:t>
      </w:r>
      <w:r>
        <w:fldChar w:fldCharType="begin"/>
      </w:r>
      <w:r>
        <w:instrText xml:space="preserve"> HYPERLINK "http://www.yzq.gov.cn/" </w:instrText>
      </w:r>
      <w:r>
        <w:fldChar w:fldCharType="separate"/>
      </w:r>
      <w:r>
        <w:rPr>
          <w:rFonts w:hint="eastAsia" w:ascii="微软雅黑" w:hAnsi="微软雅黑" w:eastAsia="微软雅黑" w:cs="宋体"/>
          <w:color w:val="0000FF"/>
          <w:kern w:val="0"/>
          <w:sz w:val="26"/>
        </w:rPr>
        <w:t>http://www.yzq.gov.cn/</w:t>
      </w:r>
      <w:r>
        <w:rPr>
          <w:rFonts w:hint="eastAsia" w:ascii="微软雅黑" w:hAnsi="微软雅黑" w:eastAsia="微软雅黑" w:cs="宋体"/>
          <w:color w:val="0000FF"/>
          <w:kern w:val="0"/>
          <w:sz w:val="26"/>
        </w:rPr>
        <w:fldChar w:fldCharType="end"/>
      </w:r>
      <w:r>
        <w:rPr>
          <w:rFonts w:hint="eastAsia" w:ascii="微软雅黑" w:hAnsi="微软雅黑" w:eastAsia="微软雅黑" w:cs="宋体"/>
          <w:color w:val="333333"/>
          <w:kern w:val="0"/>
          <w:sz w:val="26"/>
          <w:szCs w:val="26"/>
        </w:rPr>
        <w:t>）上查询下载。如对报告有任何疑问，请与袁州区工业和信息委员会联系(地址：袁州区袁州大厦1341办公室，邮编：336000，电话：0795-3226556，电子邮箱：)。</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4"/>
          <w:szCs w:val="24"/>
        </w:rPr>
        <w:t>　 一、概述</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000000"/>
          <w:kern w:val="0"/>
          <w:sz w:val="24"/>
          <w:szCs w:val="24"/>
        </w:rPr>
        <w:t>       袁州区工业和信息化委员会认真贯彻落实《中华人民共和国政府信息公开条例》的有关规定，加强组织领导、制度建设，认真做好政府信息公开工作。现将我委2017年的信息公开工作报告如下：</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000000"/>
          <w:kern w:val="0"/>
          <w:sz w:val="24"/>
          <w:szCs w:val="24"/>
        </w:rPr>
        <w:t>       1、信息公开工作情况。按照区政府信息公开工作统一部署，信息公开工作由一把手把关，分管领导具体负责，专人负责信息公开工作的调度和日常事务，为信息公开工作的顺利开展提供了强有力的组织保障。</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000000"/>
          <w:kern w:val="0"/>
          <w:sz w:val="24"/>
          <w:szCs w:val="24"/>
        </w:rPr>
        <w:t>        2、建立健全工作机制。按照《条例》要求，建立健全信息公开相关制度。严格执行《袁州区政府信息公开规定》，结合我委工作实际，明确分工、细化步骤，确保了政府信息及时主动公开，信息公开申请及时得到办理反馈，确保政府信息公开工作科学、规范、有序。</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4"/>
          <w:szCs w:val="24"/>
        </w:rPr>
        <w:t>       二、主动公开政府信息情况</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1、主动公开政府信息情况。</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2017年本委通过区政府门户网站、电子政务平台等形式，主动公开信息共31条，主要是分为以下四个方面，一是根据我委人员调整的情况，及时更新公开了区工信委领导分工；二是及时公开了干部作风突出问题集中整治投诉举报电话；三是及时公布了区工信委以及所属事业单位宜春太平山留守处2016年部门决算，及2017年部门预算；四是及时发布我委工作学习信息，以及我区工业发展等政务动态信息；五是公布我区工业企业技改项目备案公示信息；六是袁州区“财源信货通”拟放贷企业贷前公示信息。</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2、回应解读情况。2017年我委未收到回应解读信息。</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3、依申请公开政府信息情况。2017年我委未收到依申请公开政府信息。</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4、因政府信息公开申请行政复议、提起行政诉讼情况。2017年未发生针对本部门有关政府信息公开事务的行政复议和行政诉讼案件。</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5、依申请公开信息公开收费及减免情况。2017年度，我委政府公开信息工作无收费情况。</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三、政府信息公开工作存在的主要问题</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我委2017年政府信息公开工作中存在的问题和不足，主要表现在以下方面：一是政府信息公开在质量上、时效性上要进一步提高；二是继续完善体制机制。在政务公开涉及面广、政策性强上还要加强；三是公开服务类信息少，互动性有待加强。上述问题有待于今后的工作中进行协调，并加以改进。</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四、2018年工作打算</w:t>
      </w:r>
    </w:p>
    <w:p>
      <w:pPr>
        <w:widowControl/>
        <w:shd w:val="clear" w:color="auto" w:fill="FFFFFF"/>
        <w:wordWrap w:val="0"/>
        <w:spacing w:line="450" w:lineRule="atLeast"/>
        <w:rPr>
          <w:rFonts w:hint="eastAsia" w:ascii="微软雅黑" w:hAnsi="微软雅黑" w:eastAsia="微软雅黑"/>
          <w:color w:val="000000"/>
          <w:sz w:val="27"/>
          <w:szCs w:val="27"/>
        </w:rPr>
      </w:pPr>
      <w:r>
        <w:rPr>
          <w:rFonts w:hint="eastAsia" w:ascii="微软雅黑" w:hAnsi="微软雅黑" w:eastAsia="微软雅黑" w:cs="宋体"/>
          <w:color w:val="333333"/>
          <w:kern w:val="0"/>
          <w:sz w:val="26"/>
          <w:szCs w:val="26"/>
        </w:rPr>
        <w:t>　　</w:t>
      </w:r>
      <w:r>
        <w:rPr>
          <w:rFonts w:hint="eastAsia" w:ascii="微软雅黑" w:hAnsi="微软雅黑" w:eastAsia="微软雅黑"/>
          <w:color w:val="000000"/>
          <w:sz w:val="27"/>
          <w:szCs w:val="27"/>
        </w:rPr>
        <w:t>2018年，我委将严格落实上级要求，认真完成好政府信息公开工作任务。主要做好以下工作：</w:t>
      </w:r>
    </w:p>
    <w:p>
      <w:pPr>
        <w:widowControl/>
        <w:shd w:val="clear" w:color="auto" w:fill="FFFFFF"/>
        <w:wordWrap w:val="0"/>
        <w:spacing w:line="450" w:lineRule="atLeast"/>
        <w:rPr>
          <w:rFonts w:ascii="微软雅黑" w:hAnsi="微软雅黑" w:eastAsia="微软雅黑"/>
          <w:color w:val="000000"/>
          <w:sz w:val="27"/>
          <w:szCs w:val="27"/>
        </w:rPr>
      </w:pPr>
      <w:r>
        <w:rPr>
          <w:rFonts w:hint="eastAsia" w:ascii="微软雅黑" w:hAnsi="微软雅黑" w:eastAsia="微软雅黑" w:cs="宋体"/>
          <w:color w:val="333333"/>
          <w:kern w:val="0"/>
          <w:sz w:val="26"/>
          <w:szCs w:val="26"/>
        </w:rPr>
        <w:t>　　</w:t>
      </w:r>
      <w:r>
        <w:rPr>
          <w:rFonts w:hint="eastAsia" w:ascii="微软雅黑" w:hAnsi="微软雅黑" w:eastAsia="微软雅黑"/>
          <w:color w:val="000000"/>
          <w:sz w:val="27"/>
          <w:szCs w:val="27"/>
        </w:rPr>
        <w:t>一是按政务公开的要求，继续对机关预决算、“三公经费”、袁州区“财源信贷通”贷前公示、技改项目备案等进行公示，认真推进政务公开透明；二是做好网站留言、连线平台等答复工作，实现信息公开的制度化、规范化、常态化，形成信息公开的长效机制。</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五、其他需要报告的事项</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本年度无他需要报告的事项。</w:t>
      </w:r>
    </w:p>
    <w:p>
      <w:pPr>
        <w:widowControl/>
        <w:shd w:val="clear" w:color="auto" w:fill="FFFFFF"/>
        <w:wordWrap w:val="0"/>
        <w:spacing w:line="450" w:lineRule="atLeast"/>
        <w:rPr>
          <w:rFonts w:ascii="微软雅黑" w:hAnsi="微软雅黑" w:eastAsia="微软雅黑" w:cs="宋体"/>
          <w:color w:val="333333"/>
          <w:kern w:val="0"/>
          <w:sz w:val="26"/>
          <w:szCs w:val="26"/>
        </w:rPr>
      </w:pP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宋体" w:hAnsi="宋体" w:eastAsia="宋体" w:cs="宋体"/>
          <w:color w:val="333333"/>
          <w:kern w:val="0"/>
          <w:sz w:val="32"/>
          <w:szCs w:val="32"/>
        </w:rPr>
        <w:t>附件：</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宋体" w:hAnsi="宋体" w:eastAsia="宋体" w:cs="宋体"/>
          <w:color w:val="333333"/>
          <w:kern w:val="0"/>
          <w:sz w:val="44"/>
          <w:szCs w:val="44"/>
        </w:rPr>
        <w:t>       政府信息公开统计表</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宋体" w:hAnsi="宋体" w:eastAsia="宋体" w:cs="宋体"/>
          <w:color w:val="333333"/>
          <w:kern w:val="0"/>
          <w:sz w:val="32"/>
          <w:szCs w:val="32"/>
        </w:rPr>
        <w:t>             （</w:t>
      </w:r>
      <w:r>
        <w:rPr>
          <w:rFonts w:hint="eastAsia" w:ascii="微软雅黑" w:hAnsi="微软雅黑" w:eastAsia="微软雅黑" w:cs="宋体"/>
          <w:color w:val="333333"/>
          <w:kern w:val="0"/>
          <w:sz w:val="32"/>
          <w:szCs w:val="32"/>
        </w:rPr>
        <w:t>2017</w:t>
      </w:r>
      <w:r>
        <w:rPr>
          <w:rFonts w:hint="eastAsia" w:ascii="宋体" w:hAnsi="宋体" w:eastAsia="宋体" w:cs="宋体"/>
          <w:color w:val="333333"/>
          <w:kern w:val="0"/>
          <w:sz w:val="32"/>
          <w:szCs w:val="32"/>
        </w:rPr>
        <w:t>年度）</w:t>
      </w:r>
    </w:p>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宋体" w:hAnsi="宋体" w:eastAsia="宋体" w:cs="宋体"/>
          <w:color w:val="333333"/>
          <w:kern w:val="0"/>
          <w:sz w:val="32"/>
          <w:szCs w:val="32"/>
        </w:rPr>
        <w:t>填报单位：（盖章）</w:t>
      </w:r>
    </w:p>
    <w:tbl>
      <w:tblPr>
        <w:tblStyle w:val="5"/>
        <w:tblW w:w="0" w:type="auto"/>
        <w:tblInd w:w="0" w:type="dxa"/>
        <w:tblLayout w:type="autofit"/>
        <w:tblCellMar>
          <w:top w:w="0" w:type="dxa"/>
          <w:left w:w="0" w:type="dxa"/>
          <w:bottom w:w="0" w:type="dxa"/>
          <w:right w:w="0" w:type="dxa"/>
        </w:tblCellMar>
      </w:tblPr>
      <w:tblGrid>
        <w:gridCol w:w="6470"/>
        <w:gridCol w:w="749"/>
        <w:gridCol w:w="1095"/>
      </w:tblGrid>
      <w:tr>
        <w:tblPrEx>
          <w:tblCellMar>
            <w:top w:w="0" w:type="dxa"/>
            <w:left w:w="0" w:type="dxa"/>
            <w:bottom w:w="0" w:type="dxa"/>
            <w:right w:w="0" w:type="dxa"/>
          </w:tblCellMar>
        </w:tblPrEx>
        <w:trPr>
          <w:trHeight w:val="540" w:hRule="atLeast"/>
          <w:tblHeader/>
        </w:trPr>
        <w:tc>
          <w:tcPr>
            <w:tcW w:w="70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统　计　指　标</w:t>
            </w:r>
          </w:p>
        </w:tc>
        <w:tc>
          <w:tcPr>
            <w:tcW w:w="810" w:type="dxa"/>
            <w:tcBorders>
              <w:top w:val="outset" w:color="000000" w:sz="6" w:space="0"/>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单位</w:t>
            </w:r>
          </w:p>
        </w:tc>
        <w:tc>
          <w:tcPr>
            <w:tcW w:w="1155" w:type="dxa"/>
            <w:tcBorders>
              <w:top w:val="outset" w:color="000000" w:sz="6" w:space="0"/>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统计数</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一、主动公开情况</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55" w:type="dxa"/>
            <w:tcBorders>
              <w:top w:val="nil"/>
              <w:left w:val="nil"/>
              <w:bottom w:val="outset" w:color="000000" w:sz="6" w:space="0"/>
              <w:right w:val="outset" w:color="000000" w:sz="6" w:space="0"/>
            </w:tcBorders>
            <w:shd w:val="clear" w:color="auto" w:fill="FFFFFF"/>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（一）主动公开政府信息数</w:t>
            </w:r>
          </w:p>
          <w:p>
            <w:pPr>
              <w:widowControl/>
              <w:spacing w:line="405" w:lineRule="atLeast"/>
              <w:ind w:firstLine="1080"/>
              <w:jc w:val="left"/>
              <w:rPr>
                <w:rFonts w:ascii="宋体" w:hAnsi="宋体" w:eastAsia="宋体" w:cs="宋体"/>
                <w:kern w:val="0"/>
                <w:sz w:val="24"/>
                <w:szCs w:val="24"/>
              </w:rPr>
            </w:pPr>
            <w:r>
              <w:rPr>
                <w:rFonts w:hint="eastAsia" w:ascii="宋体" w:hAnsi="宋体" w:eastAsia="宋体" w:cs="宋体"/>
                <w:color w:val="000000"/>
                <w:kern w:val="0"/>
                <w:sz w:val="24"/>
                <w:szCs w:val="24"/>
              </w:rPr>
              <w:t>（不同渠道和方式公开相同信息计</w:t>
            </w:r>
            <w:r>
              <w:rPr>
                <w:rFonts w:hint="eastAsia" w:ascii="宋体" w:hAnsi="宋体" w:eastAsia="宋体" w:cs="宋体"/>
                <w:color w:val="000000"/>
                <w:kern w:val="0"/>
                <w:sz w:val="32"/>
                <w:szCs w:val="32"/>
              </w:rPr>
              <w:t>1</w:t>
            </w:r>
            <w:r>
              <w:rPr>
                <w:rFonts w:hint="eastAsia" w:ascii="宋体" w:hAnsi="宋体" w:eastAsia="宋体" w:cs="宋体"/>
                <w:color w:val="000000"/>
                <w:kern w:val="0"/>
                <w:sz w:val="24"/>
                <w:szCs w:val="24"/>
              </w:rPr>
              <w:t>条）</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条</w:t>
            </w:r>
          </w:p>
        </w:tc>
        <w:tc>
          <w:tcPr>
            <w:tcW w:w="1155" w:type="dxa"/>
            <w:tcBorders>
              <w:top w:val="nil"/>
              <w:left w:val="nil"/>
              <w:bottom w:val="outset" w:color="000000" w:sz="6" w:space="0"/>
              <w:right w:val="outset" w:color="000000" w:sz="6" w:space="0"/>
            </w:tcBorders>
            <w:shd w:val="clear" w:color="auto" w:fill="FFFFFF"/>
            <w:vAlign w:val="center"/>
          </w:tcPr>
          <w:p>
            <w:pPr>
              <w:widowControl/>
              <w:wordWrap w:val="0"/>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31</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其中：主动公开规范性文件数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条</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制发规范性文件总数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（二）通过不同渠道和方式公开政府信息的情况</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1.</w:t>
            </w:r>
            <w:r>
              <w:rPr>
                <w:rFonts w:hint="eastAsia" w:ascii="宋体" w:hAnsi="宋体" w:eastAsia="宋体" w:cs="宋体"/>
                <w:color w:val="000000"/>
                <w:kern w:val="0"/>
                <w:sz w:val="24"/>
                <w:szCs w:val="24"/>
              </w:rPr>
              <w:t>政府公报公开政府信息数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条</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2.</w:t>
            </w:r>
            <w:r>
              <w:rPr>
                <w:rFonts w:hint="eastAsia" w:ascii="宋体" w:hAnsi="宋体" w:eastAsia="宋体" w:cs="宋体"/>
                <w:color w:val="000000"/>
                <w:kern w:val="0"/>
                <w:sz w:val="24"/>
                <w:szCs w:val="24"/>
              </w:rPr>
              <w:t>政府网站公开政府信息数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条</w:t>
            </w:r>
          </w:p>
        </w:tc>
        <w:tc>
          <w:tcPr>
            <w:tcW w:w="1155" w:type="dxa"/>
            <w:tcBorders>
              <w:top w:val="nil"/>
              <w:left w:val="nil"/>
              <w:bottom w:val="outset" w:color="000000" w:sz="6" w:space="0"/>
              <w:right w:val="outset" w:color="000000" w:sz="6" w:space="0"/>
            </w:tcBorders>
            <w:shd w:val="clear" w:color="auto" w:fill="FFFFFF"/>
            <w:vAlign w:val="center"/>
          </w:tcPr>
          <w:p>
            <w:pPr>
              <w:widowControl/>
              <w:wordWrap w:val="0"/>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31</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3.</w:t>
            </w:r>
            <w:r>
              <w:rPr>
                <w:rFonts w:hint="eastAsia" w:ascii="宋体" w:hAnsi="宋体" w:eastAsia="宋体" w:cs="宋体"/>
                <w:color w:val="000000"/>
                <w:kern w:val="0"/>
                <w:sz w:val="24"/>
                <w:szCs w:val="24"/>
              </w:rPr>
              <w:t>政务微博公开政府信息数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条</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4.</w:t>
            </w:r>
            <w:r>
              <w:rPr>
                <w:rFonts w:hint="eastAsia" w:ascii="宋体" w:hAnsi="宋体" w:eastAsia="宋体" w:cs="宋体"/>
                <w:color w:val="000000"/>
                <w:kern w:val="0"/>
                <w:sz w:val="24"/>
                <w:szCs w:val="24"/>
              </w:rPr>
              <w:t>政务微信公开政府信息数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条</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5.</w:t>
            </w:r>
            <w:r>
              <w:rPr>
                <w:rFonts w:hint="eastAsia" w:ascii="宋体" w:hAnsi="宋体" w:eastAsia="宋体" w:cs="宋体"/>
                <w:color w:val="000000"/>
                <w:kern w:val="0"/>
                <w:sz w:val="24"/>
                <w:szCs w:val="24"/>
              </w:rPr>
              <w:t>其他方式公开政府信息数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条</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trHeight w:val="360" w:hRule="atLeast"/>
        </w:trPr>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二、回应解读情况</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55" w:type="dxa"/>
            <w:tcBorders>
              <w:top w:val="nil"/>
              <w:left w:val="nil"/>
              <w:bottom w:val="single" w:color="000000" w:sz="6" w:space="0"/>
              <w:right w:val="single" w:color="0A0A0A"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0" w:type="dxa"/>
            <w:bottom w:w="0" w:type="dxa"/>
            <w:right w:w="0" w:type="dxa"/>
          </w:tblCellMar>
        </w:tblPrEx>
        <w:trPr>
          <w:trHeight w:val="810" w:hRule="atLeast"/>
        </w:trPr>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（一）回应公众关注热点或重大舆情数</w:t>
            </w:r>
          </w:p>
          <w:p>
            <w:pPr>
              <w:widowControl/>
              <w:spacing w:line="405" w:lineRule="atLeast"/>
              <w:ind w:firstLine="960"/>
              <w:jc w:val="left"/>
              <w:rPr>
                <w:rFonts w:ascii="宋体" w:hAnsi="宋体" w:eastAsia="宋体" w:cs="宋体"/>
                <w:kern w:val="0"/>
                <w:sz w:val="24"/>
                <w:szCs w:val="24"/>
              </w:rPr>
            </w:pPr>
            <w:r>
              <w:rPr>
                <w:rFonts w:hint="eastAsia" w:ascii="宋体" w:hAnsi="宋体" w:eastAsia="宋体" w:cs="宋体"/>
                <w:color w:val="000000"/>
                <w:kern w:val="0"/>
                <w:sz w:val="24"/>
                <w:szCs w:val="24"/>
              </w:rPr>
              <w:t>（不同方式回应同一热点或舆情计</w:t>
            </w:r>
            <w:r>
              <w:rPr>
                <w:rFonts w:hint="eastAsia" w:ascii="宋体" w:hAnsi="宋体" w:eastAsia="宋体" w:cs="宋体"/>
                <w:color w:val="000000"/>
                <w:kern w:val="0"/>
                <w:sz w:val="32"/>
                <w:szCs w:val="32"/>
              </w:rPr>
              <w:t>1</w:t>
            </w:r>
            <w:r>
              <w:rPr>
                <w:rFonts w:hint="eastAsia" w:ascii="宋体" w:hAnsi="宋体" w:eastAsia="宋体" w:cs="宋体"/>
                <w:color w:val="000000"/>
                <w:kern w:val="0"/>
                <w:sz w:val="24"/>
                <w:szCs w:val="24"/>
              </w:rPr>
              <w:t>次）</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次</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（二）通过不同渠道和方式回应解读的情况</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1.</w:t>
            </w:r>
            <w:r>
              <w:rPr>
                <w:rFonts w:hint="eastAsia" w:ascii="宋体" w:hAnsi="宋体" w:eastAsia="宋体" w:cs="宋体"/>
                <w:color w:val="000000"/>
                <w:kern w:val="0"/>
                <w:sz w:val="24"/>
                <w:szCs w:val="24"/>
              </w:rPr>
              <w:t>参加或举办新闻发布会总次数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次</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rPr>
          <w:trHeight w:val="375" w:hRule="atLeast"/>
        </w:trPr>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其中：主要负责同志参加新闻发布会次数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次</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2.</w:t>
            </w:r>
            <w:r>
              <w:rPr>
                <w:rFonts w:hint="eastAsia" w:ascii="宋体" w:hAnsi="宋体" w:eastAsia="宋体" w:cs="宋体"/>
                <w:color w:val="000000"/>
                <w:kern w:val="0"/>
                <w:sz w:val="24"/>
                <w:szCs w:val="24"/>
              </w:rPr>
              <w:t>政府网站在线访谈次数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次</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其中：主要负责同志参加政府网站在线访谈次数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次</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3.</w:t>
            </w:r>
            <w:r>
              <w:rPr>
                <w:rFonts w:hint="eastAsia" w:ascii="宋体" w:hAnsi="宋体" w:eastAsia="宋体" w:cs="宋体"/>
                <w:color w:val="000000"/>
                <w:kern w:val="0"/>
                <w:sz w:val="24"/>
                <w:szCs w:val="24"/>
              </w:rPr>
              <w:t>政策解读稿件发布数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0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篇</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4.</w:t>
            </w:r>
            <w:r>
              <w:rPr>
                <w:rFonts w:hint="eastAsia" w:ascii="宋体" w:hAnsi="宋体" w:eastAsia="宋体" w:cs="宋体"/>
                <w:color w:val="000000"/>
                <w:kern w:val="0"/>
                <w:sz w:val="24"/>
                <w:szCs w:val="24"/>
              </w:rPr>
              <w:t>微博微信回应事件数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次</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5.</w:t>
            </w:r>
            <w:r>
              <w:rPr>
                <w:rFonts w:hint="eastAsia" w:ascii="宋体" w:hAnsi="宋体" w:eastAsia="宋体" w:cs="宋体"/>
                <w:color w:val="000000"/>
                <w:kern w:val="0"/>
                <w:sz w:val="24"/>
                <w:szCs w:val="24"/>
              </w:rPr>
              <w:t>其他方式回应事件数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次</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0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三、依申请公开情况</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55" w:type="dxa"/>
            <w:tcBorders>
              <w:top w:val="nil"/>
              <w:left w:val="nil"/>
              <w:bottom w:val="single" w:color="000000" w:sz="6" w:space="0"/>
              <w:right w:val="single" w:color="0A0A0A"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（一）收到申请数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wordWrap w:val="0"/>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wordWrap w:val="0"/>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1.</w:t>
            </w:r>
            <w:r>
              <w:rPr>
                <w:rFonts w:hint="eastAsia" w:ascii="宋体" w:hAnsi="宋体" w:eastAsia="宋体" w:cs="宋体"/>
                <w:color w:val="000000"/>
                <w:kern w:val="0"/>
                <w:sz w:val="24"/>
                <w:szCs w:val="24"/>
              </w:rPr>
              <w:t>当面申请数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wordWrap w:val="0"/>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2.</w:t>
            </w:r>
            <w:r>
              <w:rPr>
                <w:rFonts w:hint="eastAsia" w:ascii="宋体" w:hAnsi="宋体" w:eastAsia="宋体" w:cs="宋体"/>
                <w:color w:val="000000"/>
                <w:kern w:val="0"/>
                <w:sz w:val="24"/>
                <w:szCs w:val="24"/>
              </w:rPr>
              <w:t>传真申请数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wordWrap w:val="0"/>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3.</w:t>
            </w:r>
            <w:r>
              <w:rPr>
                <w:rFonts w:hint="eastAsia" w:ascii="宋体" w:hAnsi="宋体" w:eastAsia="宋体" w:cs="宋体"/>
                <w:color w:val="000000"/>
                <w:kern w:val="0"/>
                <w:sz w:val="24"/>
                <w:szCs w:val="24"/>
              </w:rPr>
              <w:t>网络申请数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4.</w:t>
            </w:r>
            <w:r>
              <w:rPr>
                <w:rFonts w:hint="eastAsia" w:ascii="宋体" w:hAnsi="宋体" w:eastAsia="宋体" w:cs="宋体"/>
                <w:color w:val="000000"/>
                <w:kern w:val="0"/>
                <w:sz w:val="24"/>
                <w:szCs w:val="24"/>
              </w:rPr>
              <w:t>信函申请数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（二）申请办结数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wordWrap w:val="0"/>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1.</w:t>
            </w:r>
            <w:r>
              <w:rPr>
                <w:rFonts w:hint="eastAsia" w:ascii="宋体" w:hAnsi="宋体" w:eastAsia="宋体" w:cs="宋体"/>
                <w:color w:val="000000"/>
                <w:kern w:val="0"/>
                <w:sz w:val="24"/>
                <w:szCs w:val="24"/>
              </w:rPr>
              <w:t>按时办结数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wordWrap w:val="0"/>
              <w:jc w:val="left"/>
              <w:rPr>
                <w:rFonts w:ascii="宋体" w:hAnsi="宋体" w:eastAsia="宋体" w:cs="宋体"/>
                <w:kern w:val="0"/>
                <w:sz w:val="24"/>
                <w:szCs w:val="24"/>
              </w:rPr>
            </w:pPr>
            <w:r>
              <w:rPr>
                <w:rFonts w:hint="eastAsia" w:ascii="宋体" w:hAnsi="宋体" w:eastAsia="宋体" w:cs="宋体"/>
                <w:kern w:val="0"/>
                <w:sz w:val="24"/>
                <w:szCs w:val="24"/>
              </w:rPr>
              <w:t>    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wordWrap w:val="0"/>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2.</w:t>
            </w:r>
            <w:r>
              <w:rPr>
                <w:rFonts w:hint="eastAsia" w:ascii="宋体" w:hAnsi="宋体" w:eastAsia="宋体" w:cs="宋体"/>
                <w:color w:val="000000"/>
                <w:kern w:val="0"/>
                <w:sz w:val="24"/>
                <w:szCs w:val="24"/>
              </w:rPr>
              <w:t>延期办结数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（三）申请答复数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wordWrap w:val="0"/>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wordWrap w:val="0"/>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1.</w:t>
            </w:r>
            <w:r>
              <w:rPr>
                <w:rFonts w:hint="eastAsia" w:ascii="宋体" w:hAnsi="宋体" w:eastAsia="宋体" w:cs="宋体"/>
                <w:color w:val="000000"/>
                <w:kern w:val="0"/>
                <w:sz w:val="24"/>
                <w:szCs w:val="24"/>
              </w:rPr>
              <w:t>属于已主动公开范围数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wordWrap w:val="0"/>
              <w:spacing w:line="435" w:lineRule="atLeast"/>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2.</w:t>
            </w:r>
            <w:r>
              <w:rPr>
                <w:rFonts w:hint="eastAsia" w:ascii="宋体" w:hAnsi="宋体" w:eastAsia="宋体" w:cs="宋体"/>
                <w:color w:val="000000"/>
                <w:kern w:val="0"/>
                <w:sz w:val="24"/>
                <w:szCs w:val="24"/>
              </w:rPr>
              <w:t>同意公开答复数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3.</w:t>
            </w:r>
            <w:r>
              <w:rPr>
                <w:rFonts w:hint="eastAsia" w:ascii="宋体" w:hAnsi="宋体" w:eastAsia="宋体" w:cs="宋体"/>
                <w:color w:val="000000"/>
                <w:kern w:val="0"/>
                <w:sz w:val="24"/>
                <w:szCs w:val="24"/>
              </w:rPr>
              <w:t>同意部分公开答复数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4.</w:t>
            </w:r>
            <w:r>
              <w:rPr>
                <w:rFonts w:hint="eastAsia" w:ascii="宋体" w:hAnsi="宋体" w:eastAsia="宋体" w:cs="宋体"/>
                <w:color w:val="000000"/>
                <w:kern w:val="0"/>
                <w:sz w:val="24"/>
                <w:szCs w:val="24"/>
              </w:rPr>
              <w:t>不同意公开答复数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其中：涉及国家秘密</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涉及商业秘密</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涉及个人隐私</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危及国家安全、公共安全、经济安全和社会稳定</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不是《条例》所指政府信息</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rPr>
          <w:trHeight w:val="420" w:hRule="atLeast"/>
        </w:trPr>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　　　　　　　　　法律法规规定的其他情形</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rPr>
          <w:trHeight w:val="420" w:hRule="atLeast"/>
        </w:trPr>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5.</w:t>
            </w:r>
            <w:r>
              <w:rPr>
                <w:rFonts w:hint="eastAsia" w:ascii="宋体" w:hAnsi="宋体" w:eastAsia="宋体" w:cs="宋体"/>
                <w:color w:val="000000"/>
                <w:kern w:val="0"/>
                <w:sz w:val="24"/>
                <w:szCs w:val="24"/>
              </w:rPr>
              <w:t>不属于本行政机关公开数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6.</w:t>
            </w:r>
            <w:r>
              <w:rPr>
                <w:rFonts w:hint="eastAsia" w:ascii="宋体" w:hAnsi="宋体" w:eastAsia="宋体" w:cs="宋体"/>
                <w:color w:val="000000"/>
                <w:kern w:val="0"/>
                <w:sz w:val="24"/>
                <w:szCs w:val="24"/>
              </w:rPr>
              <w:t>申请信息不存在数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6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7.</w:t>
            </w:r>
            <w:r>
              <w:rPr>
                <w:rFonts w:hint="eastAsia" w:ascii="宋体" w:hAnsi="宋体" w:eastAsia="宋体" w:cs="宋体"/>
                <w:color w:val="000000"/>
                <w:kern w:val="0"/>
                <w:sz w:val="24"/>
                <w:szCs w:val="24"/>
              </w:rPr>
              <w:t>告知作出更改补充数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6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7080" w:type="dxa"/>
            <w:tcBorders>
              <w:top w:val="nil"/>
              <w:left w:val="outset" w:color="000000" w:sz="6" w:space="0"/>
              <w:bottom w:val="outset" w:color="000000" w:sz="6" w:space="0"/>
              <w:right w:val="outset" w:color="000000" w:sz="6" w:space="0"/>
            </w:tcBorders>
            <w:shd w:val="clear" w:color="auto" w:fill="FFFFFF"/>
            <w:vAlign w:val="center"/>
          </w:tcPr>
          <w:p>
            <w:pPr>
              <w:widowControl/>
              <w:spacing w:line="435" w:lineRule="atLeast"/>
              <w:jc w:val="left"/>
              <w:rPr>
                <w:rFonts w:ascii="宋体" w:hAnsi="宋体" w:eastAsia="宋体" w:cs="宋体"/>
                <w:kern w:val="0"/>
                <w:sz w:val="24"/>
                <w:szCs w:val="24"/>
              </w:rPr>
            </w:pPr>
            <w:r>
              <w:rPr>
                <w:rFonts w:hint="eastAsia" w:ascii="宋体" w:hAnsi="宋体" w:eastAsia="宋体" w:cs="宋体"/>
                <w:color w:val="000000"/>
                <w:kern w:val="0"/>
                <w:sz w:val="32"/>
                <w:szCs w:val="32"/>
              </w:rPr>
              <w:t>8.</w:t>
            </w:r>
            <w:r>
              <w:rPr>
                <w:rFonts w:hint="eastAsia" w:ascii="宋体" w:hAnsi="宋体" w:eastAsia="宋体" w:cs="宋体"/>
                <w:color w:val="000000"/>
                <w:kern w:val="0"/>
                <w:sz w:val="24"/>
                <w:szCs w:val="24"/>
              </w:rPr>
              <w:t>告知通过其他途径办理数</w:t>
            </w:r>
          </w:p>
        </w:tc>
        <w:tc>
          <w:tcPr>
            <w:tcW w:w="810"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件</w:t>
            </w:r>
          </w:p>
        </w:tc>
        <w:tc>
          <w:tcPr>
            <w:tcW w:w="1155" w:type="dxa"/>
            <w:tcBorders>
              <w:top w:val="nil"/>
              <w:left w:val="nil"/>
              <w:bottom w:val="outset" w:color="000000" w:sz="6" w:space="0"/>
              <w:right w:val="outset" w:color="000000" w:sz="6" w:space="0"/>
            </w:tcBorders>
            <w:shd w:val="clear" w:color="auto" w:fill="FFFFFF"/>
            <w:vAlign w:val="center"/>
          </w:tcPr>
          <w:p>
            <w:pPr>
              <w:widowControl/>
              <w:spacing w:line="435"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0</w:t>
            </w:r>
          </w:p>
        </w:tc>
      </w:tr>
      <w:tr>
        <w:tblPrEx>
          <w:tblCellMar>
            <w:top w:w="0" w:type="dxa"/>
            <w:left w:w="0" w:type="dxa"/>
            <w:bottom w:w="0" w:type="dxa"/>
            <w:right w:w="0" w:type="dxa"/>
          </w:tblCellMar>
        </w:tblPrEx>
        <w:tc>
          <w:tcPr>
            <w:tcW w:w="0" w:type="auto"/>
            <w:tcBorders>
              <w:top w:val="nil"/>
              <w:left w:val="outset" w:color="auto" w:sz="6" w:space="0"/>
              <w:bottom w:val="outset" w:color="auto" w:sz="6" w:space="0"/>
              <w:right w:val="outset" w:color="000000" w:sz="6" w:space="0"/>
            </w:tcBorders>
            <w:shd w:val="clear" w:color="auto" w:fill="FFFFFF"/>
            <w:vAlign w:val="center"/>
          </w:tcPr>
          <w:p>
            <w:pPr>
              <w:widowControl/>
              <w:jc w:val="left"/>
              <w:rPr>
                <w:rFonts w:ascii="宋体" w:hAnsi="宋体" w:eastAsia="宋体" w:cs="宋体"/>
                <w:kern w:val="0"/>
                <w:sz w:val="24"/>
                <w:szCs w:val="24"/>
              </w:rPr>
            </w:pPr>
          </w:p>
        </w:tc>
        <w:tc>
          <w:tcPr>
            <w:tcW w:w="0" w:type="auto"/>
            <w:tcBorders>
              <w:top w:val="nil"/>
              <w:left w:val="nil"/>
              <w:bottom w:val="outset" w:color="auto" w:sz="6" w:space="0"/>
              <w:right w:val="outset" w:color="000000" w:sz="6" w:space="0"/>
            </w:tcBorders>
            <w:shd w:val="clear" w:color="auto" w:fill="FFFFFF"/>
            <w:vAlign w:val="center"/>
          </w:tcPr>
          <w:p>
            <w:pPr>
              <w:widowControl/>
              <w:jc w:val="left"/>
              <w:rPr>
                <w:rFonts w:ascii="宋体" w:hAnsi="宋体" w:eastAsia="宋体" w:cs="宋体"/>
                <w:kern w:val="0"/>
                <w:sz w:val="24"/>
                <w:szCs w:val="24"/>
              </w:rPr>
            </w:pPr>
          </w:p>
        </w:tc>
        <w:tc>
          <w:tcPr>
            <w:tcW w:w="0" w:type="auto"/>
            <w:tcBorders>
              <w:top w:val="nil"/>
              <w:left w:val="nil"/>
              <w:bottom w:val="outset" w:color="auto" w:sz="6" w:space="0"/>
              <w:right w:val="outset" w:color="000000" w:sz="6" w:space="0"/>
            </w:tcBorders>
            <w:shd w:val="clear" w:color="auto" w:fill="FFFFFF"/>
            <w:vAlign w:val="center"/>
          </w:tcPr>
          <w:p>
            <w:pPr>
              <w:widowControl/>
              <w:jc w:val="left"/>
              <w:rPr>
                <w:rFonts w:ascii="宋体" w:hAnsi="宋体" w:eastAsia="宋体" w:cs="宋体"/>
                <w:kern w:val="0"/>
                <w:sz w:val="24"/>
                <w:szCs w:val="24"/>
              </w:rPr>
            </w:pPr>
          </w:p>
        </w:tc>
      </w:tr>
    </w:tbl>
    <w:p>
      <w:pPr>
        <w:widowControl/>
        <w:shd w:val="clear" w:color="auto" w:fill="FFFFFF"/>
        <w:wordWrap w:val="0"/>
        <w:spacing w:line="450" w:lineRule="atLeast"/>
        <w:rPr>
          <w:rFonts w:ascii="微软雅黑" w:hAnsi="微软雅黑" w:eastAsia="微软雅黑" w:cs="宋体"/>
          <w:color w:val="333333"/>
          <w:kern w:val="0"/>
          <w:sz w:val="26"/>
          <w:szCs w:val="26"/>
        </w:rPr>
      </w:pPr>
      <w:r>
        <w:rPr>
          <w:rFonts w:hint="eastAsia" w:ascii="微软雅黑" w:hAnsi="微软雅黑" w:eastAsia="微软雅黑" w:cs="宋体"/>
          <w:color w:val="333333"/>
          <w:kern w:val="0"/>
          <w:sz w:val="26"/>
          <w:szCs w:val="26"/>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MxYzE4NTUyM2UzMTdlZjgyYzMyMTUwMWYyMzdiMzkifQ=="/>
  </w:docVars>
  <w:rsids>
    <w:rsidRoot w:val="000C0F3F"/>
    <w:rsid w:val="000C0F3F"/>
    <w:rsid w:val="000D108C"/>
    <w:rsid w:val="001F7052"/>
    <w:rsid w:val="0038364B"/>
    <w:rsid w:val="00483FAA"/>
    <w:rsid w:val="004B7107"/>
    <w:rsid w:val="0076483F"/>
    <w:rsid w:val="00A76E4D"/>
    <w:rsid w:val="00AB38AE"/>
    <w:rsid w:val="00E0797B"/>
    <w:rsid w:val="7BB54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361</Words>
  <Characters>2060</Characters>
  <Lines>17</Lines>
  <Paragraphs>4</Paragraphs>
  <TotalTime>2</TotalTime>
  <ScaleCrop>false</ScaleCrop>
  <LinksUpToDate>false</LinksUpToDate>
  <CharactersWithSpaces>2417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2021-04-27T08:28:00Z</dcterms:created>
  <dc:creator>PC</dc:creator>
  <cp:lastModifiedBy>周虹</cp:lastModifiedBy>
  <dcterms:modified xsi:type="dcterms:W3CDTF">2023-10-25T02:52:09Z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9392D5945DE14B41B5263ACCCE5E94F5_12</vt:lpwstr>
  </property>
</Properties>
</file>