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宋体" w:hAnsi="宋体" w:eastAsia="宋体" w:cs="宋体"/>
          <w:b/>
          <w:bCs/>
          <w:color w:val="333333"/>
          <w:kern w:val="0"/>
          <w:sz w:val="36"/>
          <w:szCs w:val="36"/>
          <w:shd w:val="clear" w:color="auto" w:fill="FFFFFF"/>
        </w:rPr>
        <w:t>袁州区工信局2019年政府信息公开工作年度报告</w:t>
      </w:r>
    </w:p>
    <w:p>
      <w:pPr>
        <w:widowControl/>
        <w:shd w:val="clear" w:color="auto" w:fill="FFFFFF"/>
        <w:wordWrap w:val="0"/>
        <w:spacing w:line="600" w:lineRule="atLeast"/>
        <w:ind w:firstLine="480"/>
        <w:rPr>
          <w:rFonts w:hint="eastAsia" w:ascii="MS Mincho" w:hAnsi="MS Mincho" w:cs="MS Mincho"/>
          <w:color w:val="333333"/>
          <w:kern w:val="0"/>
          <w:sz w:val="32"/>
          <w:szCs w:val="32"/>
        </w:rPr>
      </w:pPr>
      <w:r>
        <w:rPr>
          <w:rFonts w:hint="eastAsia" w:ascii="MS Mincho" w:hAnsi="MS Mincho" w:eastAsia="MS Mincho" w:cs="MS Mincho"/>
          <w:color w:val="333333"/>
          <w:kern w:val="0"/>
          <w:sz w:val="32"/>
          <w:szCs w:val="32"/>
        </w:rPr>
        <w:t>​​</w:t>
      </w:r>
      <w:bookmarkStart w:id="0" w:name="_GoBack"/>
      <w:bookmarkEnd w:id="0"/>
    </w:p>
    <w:p>
      <w:pPr>
        <w:widowControl/>
        <w:shd w:val="clear" w:color="auto" w:fill="FFFFFF"/>
        <w:wordWrap w:val="0"/>
        <w:spacing w:line="600" w:lineRule="atLeast"/>
        <w:ind w:firstLine="480"/>
        <w:rPr>
          <w:rFonts w:ascii="微软雅黑" w:hAnsi="微软雅黑" w:eastAsia="微软雅黑" w:cs="宋体"/>
          <w:color w:val="333333"/>
          <w:kern w:val="0"/>
          <w:sz w:val="26"/>
          <w:szCs w:val="26"/>
        </w:rPr>
      </w:pPr>
      <w:r>
        <w:rPr>
          <w:rFonts w:hint="eastAsia" w:ascii="黑体" w:hAnsi="黑体" w:eastAsia="黑体" w:cs="黑体"/>
          <w:color w:val="333333"/>
          <w:kern w:val="0"/>
          <w:sz w:val="32"/>
          <w:szCs w:val="32"/>
        </w:rPr>
        <w:t>一、总体情况</w:t>
      </w:r>
    </w:p>
    <w:p>
      <w:pPr>
        <w:widowControl/>
        <w:shd w:val="clear" w:color="auto" w:fill="FFFFFF"/>
        <w:wordWrap w:val="0"/>
        <w:spacing w:line="360" w:lineRule="atLeast"/>
        <w:ind w:firstLine="43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报告根据《中华人民共和国政府信息公开条例》和袁州区政府信息公开年度报告编制公开工作的要求编制，报告分为总体情况、主动公开政府信息情况、收到和处理政府信息公开申请情况、政府信息公开行政复议、行政诉讼情况、存在的主要问题及改进情况、其他需要报告的事项等六个部分。报告所列数据统计期限自2019年1月1日起至2019年12月31日止。本报告可在区人民政府网（</w:t>
      </w:r>
      <w:r>
        <w:fldChar w:fldCharType="begin"/>
      </w:r>
      <w:r>
        <w:instrText xml:space="preserve"> HYPERLINK "http://www.yzq.gov.cn/" </w:instrText>
      </w:r>
      <w:r>
        <w:fldChar w:fldCharType="separate"/>
      </w:r>
      <w:r>
        <w:rPr>
          <w:rFonts w:hint="eastAsia" w:ascii="仿宋_GB2312" w:hAnsi="微软雅黑" w:eastAsia="仿宋_GB2312" w:cs="宋体"/>
          <w:color w:val="000000"/>
          <w:kern w:val="0"/>
          <w:sz w:val="29"/>
        </w:rPr>
        <w:t>http://www.yzq.gov.cn/</w:t>
      </w:r>
      <w:r>
        <w:rPr>
          <w:rFonts w:hint="eastAsia" w:ascii="仿宋_GB2312" w:hAnsi="微软雅黑" w:eastAsia="仿宋_GB2312" w:cs="宋体"/>
          <w:color w:val="000000"/>
          <w:kern w:val="0"/>
          <w:sz w:val="29"/>
        </w:rPr>
        <w:fldChar w:fldCharType="end"/>
      </w:r>
      <w:r>
        <w:rPr>
          <w:rFonts w:hint="eastAsia" w:ascii="仿宋_GB2312" w:hAnsi="微软雅黑" w:eastAsia="仿宋_GB2312" w:cs="宋体"/>
          <w:color w:val="333333"/>
          <w:kern w:val="0"/>
          <w:sz w:val="29"/>
          <w:szCs w:val="29"/>
        </w:rPr>
        <w:t>）上查询下载。如对报告有任何疑问，请与袁州区工业和信息化局联系(地址：袁州区袁州大厦1341办公室，邮编：336000，电话：0795-3226556，电子邮箱：</w:t>
      </w:r>
      <w:r>
        <w:fldChar w:fldCharType="begin"/>
      </w:r>
      <w:r>
        <w:instrText xml:space="preserve"> HYPERLINK "mailto:yzqjmw2008@163.com" </w:instrText>
      </w:r>
      <w:r>
        <w:fldChar w:fldCharType="separate"/>
      </w:r>
      <w:r>
        <w:rPr>
          <w:rFonts w:hint="eastAsia" w:ascii="仿宋_GB2312" w:hAnsi="微软雅黑" w:eastAsia="仿宋_GB2312" w:cs="宋体"/>
          <w:color w:val="000000"/>
          <w:kern w:val="0"/>
          <w:sz w:val="29"/>
        </w:rPr>
        <w:t>yzqjmw2008@163.com</w:t>
      </w:r>
      <w:r>
        <w:rPr>
          <w:rFonts w:hint="eastAsia" w:ascii="仿宋_GB2312" w:hAnsi="微软雅黑" w:eastAsia="仿宋_GB2312" w:cs="宋体"/>
          <w:color w:val="000000"/>
          <w:kern w:val="0"/>
          <w:sz w:val="29"/>
        </w:rPr>
        <w:fldChar w:fldCharType="end"/>
      </w:r>
      <w:r>
        <w:rPr>
          <w:rFonts w:hint="eastAsia" w:ascii="仿宋_GB2312" w:hAnsi="微软雅黑" w:eastAsia="仿宋_GB2312" w:cs="宋体"/>
          <w:color w:val="333333"/>
          <w:kern w:val="0"/>
          <w:sz w:val="29"/>
          <w:szCs w:val="29"/>
        </w:rPr>
        <w:t>)。</w:t>
      </w:r>
    </w:p>
    <w:p>
      <w:pPr>
        <w:widowControl/>
        <w:shd w:val="clear" w:color="auto" w:fill="FFFFFF"/>
        <w:wordWrap w:val="0"/>
        <w:spacing w:line="600" w:lineRule="atLeast"/>
        <w:ind w:firstLine="480"/>
        <w:rPr>
          <w:rFonts w:hint="eastAsia" w:ascii="微软雅黑" w:hAnsi="微软雅黑" w:eastAsia="微软雅黑" w:cs="宋体"/>
          <w:color w:val="333333"/>
          <w:kern w:val="0"/>
          <w:sz w:val="26"/>
          <w:szCs w:val="26"/>
        </w:rPr>
      </w:pPr>
      <w:r>
        <w:rPr>
          <w:rFonts w:hint="eastAsia" w:ascii="仿宋_GB2312" w:hAnsi="微软雅黑" w:eastAsia="仿宋_GB2312" w:cs="宋体"/>
          <w:b/>
          <w:bCs/>
          <w:color w:val="333333"/>
          <w:kern w:val="0"/>
          <w:sz w:val="29"/>
        </w:rPr>
        <w:t>（一）概述</w:t>
      </w:r>
    </w:p>
    <w:p>
      <w:pPr>
        <w:widowControl/>
        <w:shd w:val="clear" w:color="auto" w:fill="FFFFFF"/>
        <w:wordWrap w:val="0"/>
        <w:spacing w:line="360" w:lineRule="atLeast"/>
        <w:ind w:firstLine="43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shd w:val="clear" w:color="auto" w:fill="FFFFFF"/>
        </w:rPr>
        <w:t>袁州区工业和信息化局认真贯彻落实《中华人民共和国政府信息公开条例》的有关规定，进一步规范管理、加强领导、加大宣传，按照区政府统一部署，认真做好政府信息公开工作</w:t>
      </w:r>
      <w:r>
        <w:rPr>
          <w:rFonts w:hint="eastAsia" w:ascii="仿宋_GB2312" w:hAnsi="微软雅黑" w:eastAsia="仿宋_GB2312" w:cs="宋体"/>
          <w:color w:val="333333"/>
          <w:kern w:val="0"/>
          <w:sz w:val="29"/>
          <w:szCs w:val="29"/>
        </w:rPr>
        <w:t>。一是</w:t>
      </w:r>
      <w:r>
        <w:rPr>
          <w:rFonts w:hint="eastAsia" w:ascii="仿宋_GB2312" w:hAnsi="微软雅黑" w:eastAsia="仿宋_GB2312" w:cs="宋体"/>
          <w:color w:val="333333"/>
          <w:kern w:val="0"/>
          <w:sz w:val="29"/>
          <w:szCs w:val="29"/>
          <w:shd w:val="clear" w:color="auto" w:fill="FFFFFF"/>
        </w:rPr>
        <w:t>进一步规范信息公开的管理工作，严格遵守信息上报制度，完善了政府信息公开制度，对公开审批的相关程序进行了进一步的完善；二是</w:t>
      </w:r>
      <w:r>
        <w:rPr>
          <w:rFonts w:hint="eastAsia" w:ascii="仿宋_GB2312" w:hAnsi="微软雅黑" w:eastAsia="仿宋_GB2312" w:cs="宋体"/>
          <w:color w:val="333333"/>
          <w:kern w:val="0"/>
          <w:sz w:val="29"/>
          <w:szCs w:val="29"/>
        </w:rPr>
        <w:t>加强了对政府信息公开的宣传，提高思想认识，对要求上报的政务公开信息，做到依法依规上报；三是加强分管领导对信息上报工作的管理，所有上报的信息，需要先由分管领导审核后，再报请主要领导审批后方可上报；四是加强对工作人员的业务培训，提高工作人员的业务素质和能力。</w:t>
      </w:r>
    </w:p>
    <w:p>
      <w:pPr>
        <w:widowControl/>
        <w:shd w:val="clear" w:color="auto" w:fill="FFFFFF"/>
        <w:wordWrap w:val="0"/>
        <w:spacing w:line="600" w:lineRule="atLeast"/>
        <w:ind w:firstLine="480"/>
        <w:rPr>
          <w:rFonts w:hint="eastAsia" w:ascii="微软雅黑" w:hAnsi="微软雅黑" w:eastAsia="微软雅黑" w:cs="宋体"/>
          <w:color w:val="333333"/>
          <w:kern w:val="0"/>
          <w:sz w:val="26"/>
          <w:szCs w:val="26"/>
        </w:rPr>
      </w:pPr>
      <w:r>
        <w:rPr>
          <w:rFonts w:hint="eastAsia" w:ascii="仿宋_GB2312" w:hAnsi="微软雅黑" w:eastAsia="仿宋_GB2312" w:cs="宋体"/>
          <w:b/>
          <w:bCs/>
          <w:color w:val="333333"/>
          <w:kern w:val="0"/>
          <w:sz w:val="29"/>
        </w:rPr>
        <w:t>（二）主动公开政府信息情况</w:t>
      </w:r>
    </w:p>
    <w:p>
      <w:pPr>
        <w:widowControl/>
        <w:shd w:val="clear" w:color="auto" w:fill="FFFFFF"/>
        <w:wordWrap w:val="0"/>
        <w:spacing w:line="360" w:lineRule="atLeast"/>
        <w:ind w:firstLine="55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1、主动公开政府信息情况。</w:t>
      </w:r>
    </w:p>
    <w:p>
      <w:pPr>
        <w:widowControl/>
        <w:shd w:val="clear" w:color="auto" w:fill="FFFFFF"/>
        <w:wordWrap w:val="0"/>
        <w:spacing w:line="360" w:lineRule="atLeast"/>
        <w:ind w:firstLine="420"/>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2019年我局通过区政府门户网站、电子政务平台等形式，主动公开信息共73条，主要是分为以下五个方面，一是公开指南1篇；二是工作动态68篇，包括政务动态45篇，公告公示信息23篇；三是概况信息1篇；四是法规文件2篇；五是2019年度政府信息公开年度报告1篇。</w:t>
      </w:r>
    </w:p>
    <w:p>
      <w:pPr>
        <w:widowControl/>
        <w:shd w:val="clear" w:color="auto" w:fill="FFFFFF"/>
        <w:wordWrap w:val="0"/>
        <w:spacing w:line="360" w:lineRule="atLeast"/>
        <w:ind w:firstLine="55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2、依申请公开政府信息情况。2019年我局未收到依申请公开政府信息。</w:t>
      </w:r>
    </w:p>
    <w:p>
      <w:pPr>
        <w:widowControl/>
        <w:shd w:val="clear" w:color="auto" w:fill="FFFFFF"/>
        <w:wordWrap w:val="0"/>
        <w:spacing w:line="360" w:lineRule="atLeast"/>
        <w:ind w:firstLine="55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3、政府信息公开申请行政复议、提起行政诉讼情况。2019年未发生针对本部门有关政府信息公开事务的行政复议和行政诉讼案件。</w:t>
      </w:r>
    </w:p>
    <w:p>
      <w:pPr>
        <w:widowControl/>
        <w:shd w:val="clear" w:color="auto" w:fill="FFFFFF"/>
        <w:wordWrap w:val="0"/>
        <w:spacing w:line="360" w:lineRule="atLeast"/>
        <w:ind w:firstLine="55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4、依申请公开信息公开收费及减免情况。2019年度，我局政府公开信息工作无收费情况。</w:t>
      </w:r>
    </w:p>
    <w:p>
      <w:pPr>
        <w:widowControl/>
        <w:shd w:val="clear" w:color="auto" w:fill="FFFFFF"/>
        <w:wordWrap w:val="0"/>
        <w:spacing w:line="450" w:lineRule="atLeast"/>
        <w:ind w:firstLine="420"/>
        <w:rPr>
          <w:rFonts w:hint="eastAsia" w:ascii="微软雅黑" w:hAnsi="微软雅黑" w:eastAsia="微软雅黑" w:cs="宋体"/>
          <w:color w:val="333333"/>
          <w:kern w:val="0"/>
          <w:sz w:val="26"/>
          <w:szCs w:val="26"/>
        </w:rPr>
      </w:pPr>
      <w:r>
        <w:rPr>
          <w:rFonts w:hint="eastAsia" w:ascii="微软雅黑" w:hAnsi="微软雅黑" w:eastAsia="微软雅黑" w:cs="宋体"/>
          <w:color w:val="333333"/>
          <w:kern w:val="0"/>
          <w:sz w:val="32"/>
          <w:szCs w:val="32"/>
        </w:rPr>
        <w:t> </w:t>
      </w:r>
      <w:r>
        <w:rPr>
          <w:rFonts w:hint="eastAsia" w:ascii="黑体" w:hAnsi="黑体" w:eastAsia="黑体" w:cs="宋体"/>
          <w:color w:val="333333"/>
          <w:kern w:val="0"/>
          <w:sz w:val="32"/>
          <w:szCs w:val="32"/>
        </w:rPr>
        <w:t>二、主动公开政府信息情况</w:t>
      </w:r>
    </w:p>
    <w:tbl>
      <w:tblPr>
        <w:tblStyle w:val="3"/>
        <w:tblW w:w="8865" w:type="dxa"/>
        <w:tblCellSpacing w:w="0" w:type="dxa"/>
        <w:tblInd w:w="0" w:type="dxa"/>
        <w:tblLayout w:type="autofit"/>
        <w:tblCellMar>
          <w:top w:w="0" w:type="dxa"/>
          <w:left w:w="0" w:type="dxa"/>
          <w:bottom w:w="0" w:type="dxa"/>
          <w:right w:w="0" w:type="dxa"/>
        </w:tblCellMar>
      </w:tblPr>
      <w:tblGrid>
        <w:gridCol w:w="3285"/>
        <w:gridCol w:w="1950"/>
        <w:gridCol w:w="1785"/>
        <w:gridCol w:w="6"/>
        <w:gridCol w:w="1929"/>
      </w:tblGrid>
      <w:tr>
        <w:tblPrEx>
          <w:tblCellMar>
            <w:top w:w="0" w:type="dxa"/>
            <w:left w:w="0" w:type="dxa"/>
            <w:bottom w:w="0" w:type="dxa"/>
            <w:right w:w="0" w:type="dxa"/>
          </w:tblCellMar>
        </w:tblPrEx>
        <w:trPr>
          <w:trHeight w:val="510" w:hRule="atLeast"/>
          <w:tblCellSpacing w:w="0" w:type="dxa"/>
        </w:trPr>
        <w:tc>
          <w:tcPr>
            <w:tcW w:w="8865" w:type="dxa"/>
            <w:gridSpan w:val="5"/>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第二十条第（一）项</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信息内容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本年新制作数量</w:t>
            </w:r>
          </w:p>
        </w:tc>
        <w:tc>
          <w:tcPr>
            <w:tcW w:w="177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本年新公开数量</w:t>
            </w:r>
          </w:p>
        </w:tc>
        <w:tc>
          <w:tcPr>
            <w:tcW w:w="190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对外公开总数量</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规章</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177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 0</w:t>
            </w:r>
          </w:p>
        </w:tc>
        <w:tc>
          <w:tcPr>
            <w:tcW w:w="190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规范性文件</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0</w:t>
            </w:r>
          </w:p>
        </w:tc>
        <w:tc>
          <w:tcPr>
            <w:tcW w:w="177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wordWrap w:val="0"/>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190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wordWrap w:val="0"/>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r>
      <w:tr>
        <w:tblPrEx>
          <w:tblCellMar>
            <w:top w:w="0" w:type="dxa"/>
            <w:left w:w="0" w:type="dxa"/>
            <w:bottom w:w="0" w:type="dxa"/>
            <w:right w:w="0" w:type="dxa"/>
          </w:tblCellMar>
        </w:tblPrEx>
        <w:trPr>
          <w:trHeight w:val="510" w:hRule="atLeast"/>
          <w:tblCellSpacing w:w="0" w:type="dxa"/>
        </w:trPr>
        <w:tc>
          <w:tcPr>
            <w:tcW w:w="886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第二十条第（五）项</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信息内容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上一年项目数量</w:t>
            </w:r>
          </w:p>
        </w:tc>
        <w:tc>
          <w:tcPr>
            <w:tcW w:w="177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本年增</w:t>
            </w:r>
            <w:r>
              <w:rPr>
                <w:rFonts w:hint="eastAsia" w:ascii="宋体" w:hAnsi="宋体" w:eastAsia="宋体" w:cs="宋体"/>
                <w:kern w:val="0"/>
                <w:sz w:val="23"/>
                <w:szCs w:val="23"/>
              </w:rPr>
              <w:t>/</w:t>
            </w:r>
            <w:r>
              <w:rPr>
                <w:rFonts w:hint="eastAsia" w:ascii="仿宋_GB2312" w:hAnsi="宋体" w:eastAsia="仿宋_GB2312" w:cs="宋体"/>
                <w:kern w:val="0"/>
                <w:sz w:val="23"/>
                <w:szCs w:val="23"/>
              </w:rPr>
              <w:t>减</w:t>
            </w:r>
          </w:p>
        </w:tc>
        <w:tc>
          <w:tcPr>
            <w:tcW w:w="190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处理决定数量</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行政许可</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0</w:t>
            </w:r>
          </w:p>
        </w:tc>
        <w:tc>
          <w:tcPr>
            <w:tcW w:w="177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wordWrap w:val="0"/>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192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wordWrap w:val="0"/>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其他对外管理服务事项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177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192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510" w:hRule="atLeast"/>
          <w:tblCellSpacing w:w="0" w:type="dxa"/>
        </w:trPr>
        <w:tc>
          <w:tcPr>
            <w:tcW w:w="886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第二十条第（六）项</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信息内容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上一年项目数量</w:t>
            </w:r>
          </w:p>
        </w:tc>
        <w:tc>
          <w:tcPr>
            <w:tcW w:w="1770"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本年增</w:t>
            </w:r>
            <w:r>
              <w:rPr>
                <w:rFonts w:hint="eastAsia" w:ascii="宋体" w:hAnsi="宋体" w:eastAsia="宋体" w:cs="宋体"/>
                <w:kern w:val="0"/>
                <w:sz w:val="23"/>
                <w:szCs w:val="23"/>
              </w:rPr>
              <w:t>/</w:t>
            </w:r>
            <w:r>
              <w:rPr>
                <w:rFonts w:hint="eastAsia" w:ascii="仿宋_GB2312" w:hAnsi="宋体" w:eastAsia="仿宋_GB2312" w:cs="宋体"/>
                <w:kern w:val="0"/>
                <w:sz w:val="23"/>
                <w:szCs w:val="23"/>
              </w:rPr>
              <w:t>减</w:t>
            </w:r>
          </w:p>
        </w:tc>
        <w:tc>
          <w:tcPr>
            <w:tcW w:w="190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处理决定数量</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行政处罚</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177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192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行政强制</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1770"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1920" w:type="dxa"/>
            <w:gridSpan w:val="2"/>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510" w:hRule="atLeast"/>
          <w:tblCellSpacing w:w="0" w:type="dxa"/>
        </w:trPr>
        <w:tc>
          <w:tcPr>
            <w:tcW w:w="886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第二十条第（八）项</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信息内容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上一年项目数量</w:t>
            </w:r>
          </w:p>
        </w:tc>
        <w:tc>
          <w:tcPr>
            <w:tcW w:w="3690" w:type="dxa"/>
            <w:gridSpan w:val="3"/>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本年增</w:t>
            </w:r>
            <w:r>
              <w:rPr>
                <w:rFonts w:hint="eastAsia" w:ascii="宋体" w:hAnsi="宋体" w:eastAsia="宋体" w:cs="宋体"/>
                <w:kern w:val="0"/>
                <w:sz w:val="23"/>
                <w:szCs w:val="23"/>
              </w:rPr>
              <w:t>/</w:t>
            </w:r>
            <w:r>
              <w:rPr>
                <w:rFonts w:hint="eastAsia" w:ascii="仿宋_GB2312" w:hAnsi="宋体" w:eastAsia="仿宋_GB2312" w:cs="宋体"/>
                <w:kern w:val="0"/>
                <w:sz w:val="23"/>
                <w:szCs w:val="23"/>
              </w:rPr>
              <w:t>减</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行政事业性收费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3690" w:type="dxa"/>
            <w:gridSpan w:val="3"/>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宋体" w:hAnsi="宋体" w:eastAsia="宋体" w:cs="宋体"/>
                <w:kern w:val="0"/>
                <w:sz w:val="23"/>
                <w:szCs w:val="23"/>
              </w:rPr>
              <w:t>0 </w:t>
            </w:r>
          </w:p>
        </w:tc>
      </w:tr>
      <w:tr>
        <w:tblPrEx>
          <w:tblCellMar>
            <w:top w:w="0" w:type="dxa"/>
            <w:left w:w="0" w:type="dxa"/>
            <w:bottom w:w="0" w:type="dxa"/>
            <w:right w:w="0" w:type="dxa"/>
          </w:tblCellMar>
        </w:tblPrEx>
        <w:trPr>
          <w:trHeight w:val="510" w:hRule="atLeast"/>
          <w:tblCellSpacing w:w="0" w:type="dxa"/>
        </w:trPr>
        <w:tc>
          <w:tcPr>
            <w:tcW w:w="8865" w:type="dxa"/>
            <w:gridSpan w:val="5"/>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第二十条第（九）项</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信息内容</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采购项目数量</w:t>
            </w:r>
          </w:p>
        </w:tc>
        <w:tc>
          <w:tcPr>
            <w:tcW w:w="3690" w:type="dxa"/>
            <w:gridSpan w:val="3"/>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center"/>
              <w:rPr>
                <w:rFonts w:ascii="宋体" w:hAnsi="宋体" w:eastAsia="宋体" w:cs="宋体"/>
                <w:kern w:val="0"/>
                <w:sz w:val="24"/>
                <w:szCs w:val="24"/>
              </w:rPr>
            </w:pPr>
            <w:r>
              <w:rPr>
                <w:rFonts w:hint="eastAsia" w:ascii="仿宋_GB2312" w:hAnsi="宋体" w:eastAsia="仿宋_GB2312" w:cs="宋体"/>
                <w:kern w:val="0"/>
                <w:sz w:val="23"/>
                <w:szCs w:val="23"/>
              </w:rPr>
              <w:t>采购总金额</w:t>
            </w:r>
          </w:p>
        </w:tc>
      </w:tr>
      <w:tr>
        <w:tblPrEx>
          <w:tblCellMar>
            <w:top w:w="0" w:type="dxa"/>
            <w:left w:w="0" w:type="dxa"/>
            <w:bottom w:w="0" w:type="dxa"/>
            <w:right w:w="0" w:type="dxa"/>
          </w:tblCellMar>
        </w:tblPrEx>
        <w:trPr>
          <w:trHeight w:val="510" w:hRule="atLeast"/>
          <w:tblCellSpacing w:w="0" w:type="dxa"/>
        </w:trPr>
        <w:tc>
          <w:tcPr>
            <w:tcW w:w="3255" w:type="dxa"/>
            <w:tcBorders>
              <w:top w:val="nil"/>
              <w:left w:val="single" w:color="000000" w:sz="6" w:space="0"/>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仿宋_GB2312" w:hAnsi="宋体" w:eastAsia="仿宋_GB2312" w:cs="宋体"/>
                <w:kern w:val="0"/>
                <w:sz w:val="23"/>
                <w:szCs w:val="23"/>
              </w:rPr>
              <w:t>政府集中采购</w:t>
            </w:r>
          </w:p>
        </w:tc>
        <w:tc>
          <w:tcPr>
            <w:tcW w:w="1935" w:type="dxa"/>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0</w:t>
            </w:r>
          </w:p>
        </w:tc>
        <w:tc>
          <w:tcPr>
            <w:tcW w:w="3690" w:type="dxa"/>
            <w:gridSpan w:val="3"/>
            <w:tcBorders>
              <w:top w:val="nil"/>
              <w:left w:val="nil"/>
              <w:bottom w:val="single" w:color="000000" w:sz="6" w:space="0"/>
              <w:right w:val="single" w:color="000000" w:sz="6" w:space="0"/>
            </w:tcBorders>
            <w:shd w:val="clear" w:color="auto" w:fill="E6F4FF"/>
            <w:noWrap/>
            <w:tcMar>
              <w:top w:w="0" w:type="dxa"/>
              <w:left w:w="105" w:type="dxa"/>
              <w:bottom w:w="0" w:type="dxa"/>
              <w:right w:w="105" w:type="dxa"/>
            </w:tcMar>
            <w:vAlign w:val="center"/>
          </w:tcPr>
          <w:p>
            <w:pPr>
              <w:widowControl/>
              <w:spacing w:line="300" w:lineRule="atLeast"/>
              <w:jc w:val="left"/>
              <w:rPr>
                <w:rFonts w:ascii="宋体" w:hAnsi="宋体" w:eastAsia="宋体" w:cs="宋体"/>
                <w:kern w:val="0"/>
                <w:sz w:val="24"/>
                <w:szCs w:val="24"/>
              </w:rPr>
            </w:pPr>
            <w:r>
              <w:rPr>
                <w:rFonts w:hint="eastAsia" w:ascii="宋体" w:hAnsi="宋体" w:eastAsia="宋体" w:cs="宋体"/>
                <w:kern w:val="0"/>
                <w:sz w:val="23"/>
                <w:szCs w:val="23"/>
              </w:rPr>
              <w:t> 0</w:t>
            </w:r>
          </w:p>
        </w:tc>
      </w:tr>
      <w:tr>
        <w:tblPrEx>
          <w:tblCellMar>
            <w:top w:w="0" w:type="dxa"/>
            <w:left w:w="0" w:type="dxa"/>
            <w:bottom w:w="0" w:type="dxa"/>
            <w:right w:w="0" w:type="dxa"/>
          </w:tblCellMar>
        </w:tblPrEx>
        <w:trPr>
          <w:tblCellSpacing w:w="0" w:type="dxa"/>
        </w:trPr>
        <w:tc>
          <w:tcPr>
            <w:tcW w:w="3255" w:type="dxa"/>
            <w:vAlign w:val="center"/>
          </w:tcPr>
          <w:p>
            <w:pPr>
              <w:widowControl/>
              <w:jc w:val="left"/>
              <w:rPr>
                <w:rFonts w:ascii="宋体" w:hAnsi="宋体" w:eastAsia="宋体" w:cs="宋体"/>
                <w:kern w:val="0"/>
                <w:sz w:val="24"/>
                <w:szCs w:val="24"/>
              </w:rPr>
            </w:pPr>
          </w:p>
        </w:tc>
        <w:tc>
          <w:tcPr>
            <w:tcW w:w="1935" w:type="dxa"/>
            <w:vAlign w:val="center"/>
          </w:tcPr>
          <w:p>
            <w:pPr>
              <w:widowControl/>
              <w:jc w:val="left"/>
              <w:rPr>
                <w:rFonts w:ascii="宋体" w:hAnsi="宋体" w:eastAsia="宋体" w:cs="宋体"/>
                <w:kern w:val="0"/>
                <w:sz w:val="24"/>
                <w:szCs w:val="24"/>
              </w:rPr>
            </w:pPr>
          </w:p>
        </w:tc>
        <w:tc>
          <w:tcPr>
            <w:tcW w:w="1770" w:type="dxa"/>
            <w:vAlign w:val="center"/>
          </w:tcPr>
          <w:p>
            <w:pPr>
              <w:widowControl/>
              <w:jc w:val="left"/>
              <w:rPr>
                <w:rFonts w:ascii="宋体" w:hAnsi="宋体" w:eastAsia="宋体" w:cs="宋体"/>
                <w:kern w:val="0"/>
                <w:sz w:val="24"/>
                <w:szCs w:val="24"/>
              </w:rPr>
            </w:pPr>
          </w:p>
        </w:tc>
        <w:tc>
          <w:tcPr>
            <w:tcW w:w="6" w:type="dxa"/>
            <w:vAlign w:val="center"/>
          </w:tcPr>
          <w:p>
            <w:pPr>
              <w:widowControl/>
              <w:jc w:val="left"/>
              <w:rPr>
                <w:rFonts w:ascii="宋体" w:hAnsi="宋体" w:eastAsia="宋体" w:cs="宋体"/>
                <w:kern w:val="0"/>
                <w:sz w:val="24"/>
                <w:szCs w:val="24"/>
              </w:rPr>
            </w:pPr>
          </w:p>
        </w:tc>
        <w:tc>
          <w:tcPr>
            <w:tcW w:w="1905" w:type="dxa"/>
            <w:vAlign w:val="center"/>
          </w:tcPr>
          <w:p>
            <w:pPr>
              <w:widowControl/>
              <w:jc w:val="left"/>
              <w:rPr>
                <w:rFonts w:ascii="宋体" w:hAnsi="宋体" w:eastAsia="宋体" w:cs="宋体"/>
                <w:kern w:val="0"/>
                <w:sz w:val="24"/>
                <w:szCs w:val="24"/>
              </w:rPr>
            </w:pPr>
          </w:p>
        </w:tc>
      </w:tr>
    </w:tbl>
    <w:p>
      <w:pPr>
        <w:widowControl/>
        <w:shd w:val="clear" w:color="auto" w:fill="FFFFFF"/>
        <w:wordWrap w:val="0"/>
        <w:spacing w:line="600" w:lineRule="atLeast"/>
        <w:ind w:firstLine="480"/>
        <w:rPr>
          <w:rFonts w:hint="eastAsia" w:ascii="微软雅黑" w:hAnsi="微软雅黑" w:eastAsia="微软雅黑" w:cs="宋体"/>
          <w:color w:val="333333"/>
          <w:kern w:val="0"/>
          <w:sz w:val="26"/>
          <w:szCs w:val="26"/>
        </w:rPr>
      </w:pPr>
      <w:r>
        <w:rPr>
          <w:rFonts w:hint="eastAsia" w:ascii="黑体" w:hAnsi="黑体" w:eastAsia="黑体" w:cs="宋体"/>
          <w:color w:val="333333"/>
          <w:kern w:val="0"/>
          <w:sz w:val="32"/>
          <w:szCs w:val="32"/>
        </w:rPr>
        <w:t>三、收到和处理政府信息公开申请情况</w:t>
      </w:r>
    </w:p>
    <w:tbl>
      <w:tblPr>
        <w:tblStyle w:val="3"/>
        <w:tblW w:w="9075" w:type="dxa"/>
        <w:tblCellSpacing w:w="0" w:type="dxa"/>
        <w:tblInd w:w="0" w:type="dxa"/>
        <w:tblLayout w:type="autofit"/>
        <w:tblCellMar>
          <w:top w:w="0" w:type="dxa"/>
          <w:left w:w="0" w:type="dxa"/>
          <w:bottom w:w="0" w:type="dxa"/>
          <w:right w:w="0" w:type="dxa"/>
        </w:tblCellMar>
      </w:tblPr>
      <w:tblGrid>
        <w:gridCol w:w="645"/>
        <w:gridCol w:w="855"/>
        <w:gridCol w:w="2070"/>
        <w:gridCol w:w="810"/>
        <w:gridCol w:w="750"/>
        <w:gridCol w:w="750"/>
        <w:gridCol w:w="810"/>
        <w:gridCol w:w="975"/>
        <w:gridCol w:w="705"/>
        <w:gridCol w:w="705"/>
      </w:tblGrid>
      <w:tr>
        <w:tblPrEx>
          <w:tblCellMar>
            <w:top w:w="0" w:type="dxa"/>
            <w:left w:w="0" w:type="dxa"/>
            <w:bottom w:w="0" w:type="dxa"/>
            <w:right w:w="0" w:type="dxa"/>
          </w:tblCellMar>
        </w:tblPrEx>
        <w:trPr>
          <w:trHeight w:val="390" w:hRule="atLeast"/>
          <w:tblCellSpacing w:w="0" w:type="dxa"/>
        </w:trPr>
        <w:tc>
          <w:tcPr>
            <w:tcW w:w="3570" w:type="dxa"/>
            <w:gridSpan w:val="3"/>
            <w:vMerge w:val="restart"/>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（本列数据的勾稽关系为：第一项加第二项之和，等于第三项加第四项之和）</w:t>
            </w:r>
          </w:p>
        </w:tc>
        <w:tc>
          <w:tcPr>
            <w:tcW w:w="5505" w:type="dxa"/>
            <w:gridSpan w:val="7"/>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申请人情况</w:t>
            </w:r>
          </w:p>
        </w:tc>
      </w:tr>
      <w:tr>
        <w:tblPrEx>
          <w:tblCellMar>
            <w:top w:w="0" w:type="dxa"/>
            <w:left w:w="0" w:type="dxa"/>
            <w:bottom w:w="0" w:type="dxa"/>
            <w:right w:w="0" w:type="dxa"/>
          </w:tblCellMar>
        </w:tblPrEx>
        <w:trPr>
          <w:trHeight w:val="390" w:hRule="atLeast"/>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1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自然人</w:t>
            </w:r>
          </w:p>
        </w:tc>
        <w:tc>
          <w:tcPr>
            <w:tcW w:w="3990" w:type="dxa"/>
            <w:gridSpan w:val="5"/>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法人或其他组织</w:t>
            </w:r>
          </w:p>
        </w:tc>
        <w:tc>
          <w:tcPr>
            <w:tcW w:w="70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总计</w:t>
            </w:r>
          </w:p>
        </w:tc>
      </w:tr>
      <w:tr>
        <w:tblPrEx>
          <w:tblCellMar>
            <w:top w:w="0" w:type="dxa"/>
            <w:left w:w="0" w:type="dxa"/>
            <w:bottom w:w="0" w:type="dxa"/>
            <w:right w:w="0" w:type="dxa"/>
          </w:tblCellMar>
        </w:tblPrEx>
        <w:trPr>
          <w:trHeight w:val="390" w:hRule="atLeast"/>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商业企业</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科研机构</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社会公益组织</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法律服务机构</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其他</w:t>
            </w: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90" w:hRule="atLeast"/>
          <w:tblCellSpacing w:w="0" w:type="dxa"/>
        </w:trPr>
        <w:tc>
          <w:tcPr>
            <w:tcW w:w="3570"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一、本年新收政府信息公开申请数量</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0 </w:t>
            </w:r>
          </w:p>
        </w:tc>
      </w:tr>
      <w:tr>
        <w:tblPrEx>
          <w:tblCellMar>
            <w:top w:w="0" w:type="dxa"/>
            <w:left w:w="0" w:type="dxa"/>
            <w:bottom w:w="0" w:type="dxa"/>
            <w:right w:w="0" w:type="dxa"/>
          </w:tblCellMar>
        </w:tblPrEx>
        <w:trPr>
          <w:trHeight w:val="390" w:hRule="atLeast"/>
          <w:tblCellSpacing w:w="0" w:type="dxa"/>
        </w:trPr>
        <w:tc>
          <w:tcPr>
            <w:tcW w:w="3570"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二、上年结转政府信息公开申请数量</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0 </w:t>
            </w:r>
          </w:p>
        </w:tc>
      </w:tr>
      <w:tr>
        <w:tblPrEx>
          <w:tblCellMar>
            <w:top w:w="0" w:type="dxa"/>
            <w:left w:w="0" w:type="dxa"/>
            <w:bottom w:w="0" w:type="dxa"/>
            <w:right w:w="0" w:type="dxa"/>
          </w:tblCellMar>
        </w:tblPrEx>
        <w:trPr>
          <w:trHeight w:val="390" w:hRule="atLeast"/>
          <w:tblCellSpacing w:w="0" w:type="dxa"/>
        </w:trPr>
        <w:tc>
          <w:tcPr>
            <w:tcW w:w="645"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三、本年度办理结果</w:t>
            </w:r>
          </w:p>
        </w:tc>
        <w:tc>
          <w:tcPr>
            <w:tcW w:w="292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（一）予以公开</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2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（二）部分公开（区分处理的，只计这一情形，不计其他情形）</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（三）不予公开</w:t>
            </w: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0 </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（四）无法提供</w:t>
            </w: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0 </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0 </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（五）不予处理</w:t>
            </w: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07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0 </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2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（六）其他处理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925" w:type="dxa"/>
            <w:gridSpan w:val="2"/>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（七）总计</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r>
      <w:tr>
        <w:tblPrEx>
          <w:tblCellMar>
            <w:top w:w="0" w:type="dxa"/>
            <w:left w:w="0" w:type="dxa"/>
            <w:bottom w:w="0" w:type="dxa"/>
            <w:right w:w="0" w:type="dxa"/>
          </w:tblCellMar>
        </w:tblPrEx>
        <w:trPr>
          <w:trHeight w:val="390" w:hRule="atLeast"/>
          <w:tblCellSpacing w:w="0" w:type="dxa"/>
        </w:trPr>
        <w:tc>
          <w:tcPr>
            <w:tcW w:w="3570" w:type="dxa"/>
            <w:gridSpan w:val="3"/>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四、结转下年度继续办理</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5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81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97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70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spacing w:line="285" w:lineRule="atLeast"/>
              <w:ind w:firstLine="195"/>
              <w:jc w:val="left"/>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wordWrap w:val="0"/>
        <w:spacing w:line="600" w:lineRule="atLeast"/>
        <w:ind w:firstLine="480"/>
        <w:rPr>
          <w:rFonts w:hint="eastAsia" w:ascii="微软雅黑" w:hAnsi="微软雅黑" w:eastAsia="微软雅黑" w:cs="宋体"/>
          <w:color w:val="333333"/>
          <w:kern w:val="0"/>
          <w:sz w:val="26"/>
          <w:szCs w:val="26"/>
        </w:rPr>
      </w:pPr>
      <w:r>
        <w:rPr>
          <w:rFonts w:hint="eastAsia" w:ascii="黑体" w:hAnsi="黑体" w:eastAsia="黑体" w:cs="宋体"/>
          <w:color w:val="333333"/>
          <w:kern w:val="0"/>
          <w:sz w:val="32"/>
          <w:szCs w:val="32"/>
        </w:rPr>
        <w:t>四、政府信息公开行政复议、行政诉讼情况</w:t>
      </w:r>
    </w:p>
    <w:tbl>
      <w:tblPr>
        <w:tblStyle w:val="3"/>
        <w:tblW w:w="9075" w:type="dxa"/>
        <w:tblCellSpacing w:w="0" w:type="dxa"/>
        <w:tblInd w:w="0" w:type="dxa"/>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000" w:type="dxa"/>
            <w:gridSpan w:val="10"/>
            <w:tcBorders>
              <w:top w:val="single" w:color="000000" w:sz="6" w:space="0"/>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60" w:type="dxa"/>
            <w:vMerge w:val="restart"/>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30" w:type="dxa"/>
            <w:gridSpan w:val="5"/>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blCellSpacing w:w="0" w:type="dxa"/>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rPr>
          <w:tblCellSpacing w:w="0" w:type="dxa"/>
        </w:trPr>
        <w:tc>
          <w:tcPr>
            <w:tcW w:w="600" w:type="dxa"/>
            <w:tcBorders>
              <w:top w:val="nil"/>
              <w:left w:val="single" w:color="000000" w:sz="6" w:space="0"/>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6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555"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0" w:type="dxa"/>
            <w:tcBorders>
              <w:top w:val="nil"/>
              <w:left w:val="nil"/>
              <w:bottom w:val="single" w:color="000000" w:sz="6" w:space="0"/>
              <w:right w:val="single" w:color="000000" w:sz="6" w:space="0"/>
            </w:tcBorders>
            <w:shd w:val="clear" w:color="auto" w:fill="E6F4FF"/>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wordWrap w:val="0"/>
        <w:spacing w:line="600" w:lineRule="atLeast"/>
        <w:ind w:firstLine="480"/>
        <w:rPr>
          <w:rFonts w:hint="eastAsia" w:ascii="微软雅黑" w:hAnsi="微软雅黑" w:eastAsia="微软雅黑" w:cs="宋体"/>
          <w:color w:val="333333"/>
          <w:kern w:val="0"/>
          <w:sz w:val="26"/>
          <w:szCs w:val="26"/>
        </w:rPr>
      </w:pPr>
      <w:r>
        <w:rPr>
          <w:rFonts w:hint="eastAsia" w:ascii="黑体" w:hAnsi="黑体" w:eastAsia="黑体" w:cs="宋体"/>
          <w:color w:val="333333"/>
          <w:kern w:val="0"/>
          <w:sz w:val="32"/>
          <w:szCs w:val="32"/>
        </w:rPr>
        <w:t>五、存在的主要问题及改进情况</w:t>
      </w:r>
    </w:p>
    <w:p>
      <w:pPr>
        <w:widowControl/>
        <w:shd w:val="clear" w:color="auto" w:fill="FFFFFF"/>
        <w:wordWrap w:val="0"/>
        <w:spacing w:line="360" w:lineRule="atLeast"/>
        <w:ind w:firstLine="840"/>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1、公开服务类信息不多，我们将不断拓展政务公开的涉及面，多发布与工业企业相关的政策性的相关内容，提高服务类信息量。</w:t>
      </w:r>
    </w:p>
    <w:p>
      <w:pPr>
        <w:widowControl/>
        <w:shd w:val="clear" w:color="auto" w:fill="FFFFFF"/>
        <w:wordWrap w:val="0"/>
        <w:spacing w:line="360" w:lineRule="atLeast"/>
        <w:ind w:firstLine="840"/>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2、与服务单位互动性还有待加强。我们将多发布一些我局职能工作、企业服务、惠企政策方面的相关内容 ，并及时向相关企业发布，增强与服务单位的互动。</w:t>
      </w:r>
    </w:p>
    <w:p>
      <w:pPr>
        <w:widowControl/>
        <w:shd w:val="clear" w:color="auto" w:fill="FFFFFF"/>
        <w:wordWrap w:val="0"/>
        <w:spacing w:line="600" w:lineRule="atLeast"/>
        <w:ind w:firstLine="480"/>
        <w:rPr>
          <w:rFonts w:hint="eastAsia" w:ascii="微软雅黑" w:hAnsi="微软雅黑" w:eastAsia="微软雅黑" w:cs="宋体"/>
          <w:color w:val="333333"/>
          <w:kern w:val="0"/>
          <w:sz w:val="26"/>
          <w:szCs w:val="26"/>
        </w:rPr>
      </w:pPr>
      <w:r>
        <w:rPr>
          <w:rFonts w:hint="eastAsia" w:ascii="黑体" w:hAnsi="黑体" w:eastAsia="黑体" w:cs="宋体"/>
          <w:color w:val="333333"/>
          <w:kern w:val="0"/>
          <w:sz w:val="32"/>
          <w:szCs w:val="32"/>
        </w:rPr>
        <w:t>六、其他需要报告的事项</w:t>
      </w:r>
    </w:p>
    <w:p>
      <w:pPr>
        <w:widowControl/>
        <w:shd w:val="clear" w:color="auto" w:fill="FFFFFF"/>
        <w:wordWrap w:val="0"/>
        <w:spacing w:line="360" w:lineRule="atLeast"/>
        <w:ind w:firstLine="555"/>
        <w:rPr>
          <w:rFonts w:hint="eastAsia" w:ascii="微软雅黑" w:hAnsi="微软雅黑" w:eastAsia="微软雅黑" w:cs="宋体"/>
          <w:color w:val="333333"/>
          <w:kern w:val="0"/>
          <w:sz w:val="26"/>
          <w:szCs w:val="26"/>
        </w:rPr>
      </w:pPr>
      <w:r>
        <w:rPr>
          <w:rFonts w:hint="eastAsia" w:ascii="仿宋_GB2312" w:hAnsi="微软雅黑" w:eastAsia="仿宋_GB2312" w:cs="宋体"/>
          <w:color w:val="333333"/>
          <w:kern w:val="0"/>
          <w:sz w:val="29"/>
          <w:szCs w:val="29"/>
        </w:rPr>
        <w:t>根据《江西省企业投资项目核准和备案管理办法》（省政府第236号令），自2018年11月1日起所有企业投资项目核准和备案都要通过江西省投资项目在线审批监管平台线上办理，办理完成后企业可在网站自行下载备案文件及查询办理进程，实现办理过程的全公开。2019年12月份开始，省工信厅技改项目备案在江西省投资项目在线审批监管平台开通，平台开通后，我局技改项目备案公示，即在江西省投资项目在线审批监管平台办理。2019年共办理了2例工业企业技术改造项目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MxYzE4NTUyM2UzMTdlZjgyYzMyMTUwMWYyMzdiMzkifQ=="/>
  </w:docVars>
  <w:rsids>
    <w:rsidRoot w:val="00D63E3C"/>
    <w:rsid w:val="00A76E4D"/>
    <w:rsid w:val="00D63E3C"/>
    <w:rsid w:val="603C0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397</Words>
  <Characters>2267</Characters>
  <Lines>18</Lines>
  <Paragraphs>5</Paragraphs>
  <TotalTime>1</TotalTime>
  <ScaleCrop>false</ScaleCrop>
  <LinksUpToDate>false</LinksUpToDate>
  <CharactersWithSpaces>2659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2021-04-27T08:17:00Z</dcterms:created>
  <dc:creator>PC</dc:creator>
  <cp:lastModifiedBy>周虹</cp:lastModifiedBy>
  <dcterms:modified xsi:type="dcterms:W3CDTF">2023-10-25T02:52:46Z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4C7A479B8C324C28B56B7B1CA7A999BA_12</vt:lpwstr>
  </property>
</Properties>
</file>