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600" w:lineRule="atLeast"/>
        <w:jc w:val="center"/>
        <w:rPr>
          <w:rFonts w:ascii="黑体" w:hAnsi="宋体" w:eastAsia="黑体" w:cs="黑体"/>
          <w:color w:val="333333"/>
          <w:sz w:val="44"/>
          <w:szCs w:val="44"/>
          <w:bdr w:val="none" w:color="000000" w:sz="6" w:space="0"/>
          <w:shd w:val="clear" w:fill="FFFFFF"/>
        </w:rPr>
      </w:pPr>
      <w:r>
        <w:rPr>
          <w:rFonts w:hint="eastAsia" w:ascii="黑体" w:hAnsi="宋体" w:eastAsia="黑体" w:cs="黑体"/>
          <w:color w:val="333333"/>
          <w:sz w:val="44"/>
          <w:szCs w:val="44"/>
          <w:bdr w:val="none" w:color="000000" w:sz="6" w:space="0"/>
          <w:shd w:val="clear" w:fill="FFFFFF"/>
        </w:rPr>
        <w:t>袁州区工信局2020年政府信息公开工作年度报告</w:t>
      </w:r>
    </w:p>
    <w:p>
      <w:pPr>
        <w:pStyle w:val="2"/>
        <w:keepNext w:val="0"/>
        <w:keepLines w:val="0"/>
        <w:widowControl/>
        <w:suppressLineNumbers w:val="0"/>
        <w:shd w:val="clear" w:fill="FFFFFF"/>
        <w:spacing w:line="600" w:lineRule="atLeast"/>
        <w:ind w:left="0" w:firstLine="480"/>
        <w:jc w:val="left"/>
        <w:rPr>
          <w:rFonts w:ascii="黑体" w:hAnsi="宋体" w:eastAsia="黑体" w:cs="黑体"/>
          <w:color w:val="333333"/>
          <w:sz w:val="30"/>
          <w:szCs w:val="30"/>
          <w:shd w:val="clear" w:fill="FFFFFF"/>
        </w:rPr>
      </w:pPr>
      <w:r>
        <w:rPr>
          <w:rFonts w:ascii="黑体" w:hAnsi="宋体" w:eastAsia="黑体" w:cs="黑体"/>
          <w:color w:val="333333"/>
          <w:sz w:val="30"/>
          <w:szCs w:val="30"/>
          <w:shd w:val="clear" w:fill="FFFFFF"/>
        </w:rPr>
        <w:t>一、总体情况</w:t>
      </w:r>
    </w:p>
    <w:p>
      <w:pPr>
        <w:pStyle w:val="2"/>
        <w:keepNext w:val="0"/>
        <w:keepLines w:val="0"/>
        <w:widowControl/>
        <w:suppressLineNumbers w:val="0"/>
        <w:shd w:val="clear" w:fill="FFFFFF"/>
        <w:spacing w:line="600" w:lineRule="atLeast"/>
        <w:ind w:left="0" w:firstLine="435"/>
        <w:rPr>
          <w:rFonts w:hint="eastAsia" w:ascii="仿宋" w:hAnsi="仿宋" w:eastAsia="仿宋" w:cs="仿宋"/>
          <w:sz w:val="32"/>
          <w:szCs w:val="32"/>
        </w:rPr>
      </w:pPr>
      <w:r>
        <w:rPr>
          <w:rFonts w:ascii="fangsong_gb2312" w:hAnsi="fangsong_gb2312" w:eastAsia="fangsong_gb2312" w:cs="fangsong_gb2312"/>
          <w:color w:val="333333"/>
          <w:sz w:val="30"/>
          <w:szCs w:val="30"/>
          <w:bdr w:val="none" w:color="000000" w:sz="6" w:space="0"/>
          <w:shd w:val="clear" w:fill="FFFFFF"/>
        </w:rPr>
        <w:t> </w:t>
      </w:r>
      <w:r>
        <w:rPr>
          <w:rFonts w:hint="eastAsia" w:ascii="仿宋" w:hAnsi="仿宋" w:eastAsia="仿宋" w:cs="仿宋"/>
          <w:color w:val="333333"/>
          <w:sz w:val="32"/>
          <w:szCs w:val="32"/>
          <w:bdr w:val="none" w:color="000000" w:sz="6" w:space="0"/>
          <w:shd w:val="clear" w:fill="FFFFFF"/>
        </w:rPr>
        <w:t>报告根据《中华人民共和国政府信息公开条例》和袁州区政府信息公开年度报告编制公开工作的要求编制，报告分为总体情况、主动公开政府信息情况、收到和处理政府信息公开申请情况、政府信息公开行政复议、行政诉讼情况、存在的主要问题及改进情况、其他需要报告的事项等六个部分。报告所列数据统计期限自2020年1月1日起至2020年12月31日止。本报告可在区人民政府网（</w:t>
      </w:r>
      <w:r>
        <w:rPr>
          <w:rFonts w:hint="eastAsia" w:ascii="仿宋" w:hAnsi="仿宋" w:eastAsia="仿宋" w:cs="仿宋"/>
          <w:sz w:val="32"/>
          <w:szCs w:val="32"/>
          <w:shd w:val="clear" w:fill="FFFFFF"/>
        </w:rPr>
        <w:fldChar w:fldCharType="begin"/>
      </w:r>
      <w:r>
        <w:rPr>
          <w:rFonts w:hint="eastAsia" w:ascii="仿宋" w:hAnsi="仿宋" w:eastAsia="仿宋" w:cs="仿宋"/>
          <w:sz w:val="32"/>
          <w:szCs w:val="32"/>
          <w:shd w:val="clear" w:fill="FFFFFF"/>
        </w:rPr>
        <w:instrText xml:space="preserve"> HYPERLINK "http://www.yzq.gov.cn/" </w:instrText>
      </w:r>
      <w:r>
        <w:rPr>
          <w:rFonts w:hint="eastAsia" w:ascii="仿宋" w:hAnsi="仿宋" w:eastAsia="仿宋" w:cs="仿宋"/>
          <w:sz w:val="32"/>
          <w:szCs w:val="32"/>
          <w:shd w:val="clear" w:fill="FFFFFF"/>
        </w:rPr>
        <w:fldChar w:fldCharType="separate"/>
      </w:r>
      <w:r>
        <w:rPr>
          <w:rStyle w:val="6"/>
          <w:rFonts w:hint="eastAsia" w:ascii="仿宋" w:hAnsi="仿宋" w:eastAsia="仿宋" w:cs="仿宋"/>
          <w:color w:val="000000"/>
          <w:sz w:val="32"/>
          <w:szCs w:val="32"/>
          <w:shd w:val="clear" w:fill="FFFFFF"/>
        </w:rPr>
        <w:t>http://www.yzq.gov.cn/</w:t>
      </w:r>
      <w:r>
        <w:rPr>
          <w:rFonts w:hint="eastAsia" w:ascii="仿宋" w:hAnsi="仿宋" w:eastAsia="仿宋" w:cs="仿宋"/>
          <w:sz w:val="32"/>
          <w:szCs w:val="32"/>
          <w:shd w:val="clear" w:fill="FFFFFF"/>
        </w:rPr>
        <w:fldChar w:fldCharType="end"/>
      </w:r>
      <w:r>
        <w:rPr>
          <w:rFonts w:hint="eastAsia" w:ascii="仿宋" w:hAnsi="仿宋" w:eastAsia="仿宋" w:cs="仿宋"/>
          <w:color w:val="333333"/>
          <w:sz w:val="32"/>
          <w:szCs w:val="32"/>
          <w:bdr w:val="none" w:color="000000" w:sz="6" w:space="0"/>
          <w:shd w:val="clear" w:fill="FFFFFF"/>
        </w:rPr>
        <w:t>）上查询下载。如对报告有任何疑问，请与袁州区工业和信息化局联系</w:t>
      </w:r>
      <w:r>
        <w:rPr>
          <w:rFonts w:hint="eastAsia" w:ascii="仿宋" w:hAnsi="仿宋" w:eastAsia="仿宋" w:cs="仿宋"/>
          <w:color w:val="333333"/>
          <w:sz w:val="32"/>
          <w:szCs w:val="32"/>
          <w:bdr w:val="none" w:color="000000" w:sz="6" w:space="0"/>
          <w:shd w:val="clear" w:fill="FFFFFF"/>
          <w:lang w:eastAsia="zh-CN"/>
        </w:rPr>
        <w:t>（</w:t>
      </w:r>
      <w:r>
        <w:rPr>
          <w:rFonts w:hint="eastAsia" w:ascii="仿宋" w:hAnsi="仿宋" w:eastAsia="仿宋" w:cs="仿宋"/>
          <w:color w:val="333333"/>
          <w:sz w:val="32"/>
          <w:szCs w:val="32"/>
          <w:bdr w:val="none" w:color="000000" w:sz="6" w:space="0"/>
          <w:shd w:val="clear" w:fill="FFFFFF"/>
        </w:rPr>
        <w:t>地址：袁州区袁州大厦1341办公室，邮编：336000，电话：0795-3226556，电子邮箱：</w:t>
      </w:r>
      <w:r>
        <w:rPr>
          <w:rFonts w:hint="eastAsia" w:ascii="仿宋" w:hAnsi="仿宋" w:eastAsia="仿宋" w:cs="仿宋"/>
          <w:sz w:val="32"/>
          <w:szCs w:val="32"/>
          <w:shd w:val="clear" w:fill="FFFFFF"/>
        </w:rPr>
        <w:fldChar w:fldCharType="begin"/>
      </w:r>
      <w:r>
        <w:rPr>
          <w:rFonts w:hint="eastAsia" w:ascii="仿宋" w:hAnsi="仿宋" w:eastAsia="仿宋" w:cs="仿宋"/>
          <w:sz w:val="32"/>
          <w:szCs w:val="32"/>
          <w:shd w:val="clear" w:fill="FFFFFF"/>
        </w:rPr>
        <w:instrText xml:space="preserve"> HYPERLINK "mailto:yzqjmw2008@163.com" </w:instrText>
      </w:r>
      <w:r>
        <w:rPr>
          <w:rFonts w:hint="eastAsia" w:ascii="仿宋" w:hAnsi="仿宋" w:eastAsia="仿宋" w:cs="仿宋"/>
          <w:sz w:val="32"/>
          <w:szCs w:val="32"/>
          <w:shd w:val="clear" w:fill="FFFFFF"/>
        </w:rPr>
        <w:fldChar w:fldCharType="separate"/>
      </w:r>
      <w:r>
        <w:rPr>
          <w:rStyle w:val="6"/>
          <w:rFonts w:hint="eastAsia" w:ascii="仿宋" w:hAnsi="仿宋" w:eastAsia="仿宋" w:cs="仿宋"/>
          <w:color w:val="000000"/>
          <w:sz w:val="32"/>
          <w:szCs w:val="32"/>
          <w:shd w:val="clear" w:fill="FFFFFF"/>
        </w:rPr>
        <w:t>yzqjmw2008@163.com</w:t>
      </w:r>
      <w:r>
        <w:rPr>
          <w:rFonts w:hint="eastAsia" w:ascii="仿宋" w:hAnsi="仿宋" w:eastAsia="仿宋" w:cs="仿宋"/>
          <w:sz w:val="32"/>
          <w:szCs w:val="32"/>
          <w:shd w:val="clear" w:fill="FFFFFF"/>
        </w:rPr>
        <w:fldChar w:fldCharType="end"/>
      </w:r>
      <w:r>
        <w:rPr>
          <w:rFonts w:hint="eastAsia" w:ascii="仿宋" w:hAnsi="仿宋" w:eastAsia="仿宋" w:cs="仿宋"/>
          <w:color w:val="333333"/>
          <w:sz w:val="32"/>
          <w:szCs w:val="32"/>
          <w:bdr w:val="none" w:color="000000" w:sz="6" w:space="0"/>
          <w:shd w:val="clear" w:fill="FFFFFF"/>
        </w:rPr>
        <w:t>)。</w:t>
      </w:r>
    </w:p>
    <w:p>
      <w:pPr>
        <w:pStyle w:val="2"/>
        <w:keepNext w:val="0"/>
        <w:keepLines w:val="0"/>
        <w:widowControl/>
        <w:suppressLineNumbers w:val="0"/>
        <w:shd w:val="clear" w:fill="FFFFFF"/>
        <w:spacing w:line="600" w:lineRule="atLeast"/>
        <w:ind w:left="0" w:firstLine="435"/>
      </w:pPr>
      <w:r>
        <w:rPr>
          <w:rStyle w:val="5"/>
          <w:rFonts w:ascii="仿宋_GB2312" w:hAnsi="仿宋_GB2312" w:eastAsia="仿宋_GB2312" w:cs="仿宋_GB2312"/>
          <w:color w:val="333333"/>
          <w:sz w:val="30"/>
          <w:szCs w:val="30"/>
          <w:shd w:val="clear" w:fill="FFFFFF"/>
        </w:rPr>
        <w:t> </w:t>
      </w:r>
      <w:r>
        <w:rPr>
          <w:rStyle w:val="5"/>
          <w:rFonts w:hint="eastAsia" w:ascii="仿宋_GB2312" w:hAnsi="仿宋_GB2312" w:eastAsia="仿宋_GB2312" w:cs="仿宋_GB2312"/>
          <w:color w:val="333333"/>
          <w:sz w:val="30"/>
          <w:szCs w:val="30"/>
          <w:shd w:val="clear" w:fill="FFFFFF"/>
          <w:lang w:eastAsia="zh-CN"/>
        </w:rPr>
        <w:t>（</w:t>
      </w:r>
      <w:r>
        <w:rPr>
          <w:rStyle w:val="5"/>
          <w:rFonts w:ascii="仿宋_GB2312" w:hAnsi="仿宋_GB2312" w:eastAsia="仿宋_GB2312" w:cs="仿宋_GB2312"/>
          <w:color w:val="333333"/>
          <w:sz w:val="30"/>
          <w:szCs w:val="30"/>
          <w:shd w:val="clear" w:fill="FFFFFF"/>
        </w:rPr>
        <w:t>一）概述</w:t>
      </w:r>
    </w:p>
    <w:p>
      <w:pPr>
        <w:pStyle w:val="2"/>
        <w:keepNext w:val="0"/>
        <w:keepLines w:val="0"/>
        <w:widowControl/>
        <w:suppressLineNumbers w:val="0"/>
        <w:shd w:val="clear" w:fill="FFFFFF"/>
        <w:spacing w:line="600" w:lineRule="atLeast"/>
        <w:ind w:left="0" w:firstLine="435"/>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333333"/>
          <w:sz w:val="32"/>
          <w:szCs w:val="32"/>
          <w:shd w:val="clear" w:fill="FFFFFF"/>
        </w:rPr>
        <w:t> 根据《中华人民共和国政府信息公开条例》的有关规定，袁州区工业和信息化局认真贯彻落实《江西省人民政府办公厅关于全面推进基层政务公开标准化规范化实施意见</w:t>
      </w:r>
      <w:r>
        <w:rPr>
          <w:rFonts w:hint="eastAsia" w:ascii="方正仿宋_GB2312" w:hAnsi="方正仿宋_GB2312" w:eastAsia="方正仿宋_GB2312" w:cs="方正仿宋_GB2312"/>
          <w:color w:val="333333"/>
          <w:sz w:val="32"/>
          <w:szCs w:val="32"/>
          <w:shd w:val="clear" w:fill="FFFFFF"/>
          <w:lang w:eastAsia="zh-CN"/>
        </w:rPr>
        <w:t>》《</w:t>
      </w:r>
      <w:r>
        <w:rPr>
          <w:rFonts w:hint="eastAsia" w:ascii="方正仿宋_GB2312" w:hAnsi="方正仿宋_GB2312" w:eastAsia="方正仿宋_GB2312" w:cs="方正仿宋_GB2312"/>
          <w:color w:val="333333"/>
          <w:sz w:val="32"/>
          <w:szCs w:val="32"/>
          <w:shd w:val="clear" w:fill="FFFFFF"/>
        </w:rPr>
        <w:t>宜春市政府办公室关于印发全面推进宜春市政务公开标准化规范化的实施意见的通知》等文件要求，按照袁州区政府政务公开工作的统一安排，认真推进我局政务公开工作。</w:t>
      </w:r>
    </w:p>
    <w:p>
      <w:pPr>
        <w:pStyle w:val="2"/>
        <w:keepNext w:val="0"/>
        <w:keepLines w:val="0"/>
        <w:widowControl/>
        <w:suppressLineNumbers w:val="0"/>
        <w:shd w:val="clear" w:fill="FFFFFF"/>
        <w:spacing w:line="600" w:lineRule="atLeast"/>
        <w:ind w:left="0" w:firstLine="435"/>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shd w:val="clear" w:fill="FFFFFF"/>
        </w:rPr>
        <w:t> 一是进一步规范信息公开目录。根据区政府统一部署，我局参照上级部门的主动公开共性目录，结合实际，认真梳理我局政务公开事项，进一步完善和规范公开目录。由去年的5栏目，增加成7个栏目。同时目录完善后，及时对各栏目进行更新，按时保质保量完成了栏目更新和维护任务，使我局政务公开内容更加科学规范。二是进一步健全完善政务公开制度。结合我局工作实际，健全完善了信息发布、舆情回应、信息安全管理、重大决策预公开等制度，从而进一步规范了我局信息公开管理工作。我局进一步明确了信息公开范围，公开审批等程序，制订了信息上报奖惩制度，各职能股室按要求报送信息，构成了一个较为完善的信息公开工作体系，使我局政务公开流程更加规范，制度更加完善。三是进一步加强了队伍建设。政务公开工作由主要领导为第一责任人，分管领导具体负责指导实施。指定专职人员具体负责政府门户网站政务信息公开的维护和管理，公开工作制度化，确保政务信息平台规范合理，运作有序。四是进一步加强教育培训。我局把《中华人民共和国政府信息公开条例》纳入领导干部和公务员培训内容，切实提高政务信息依法依规公开的意识。同时，我们还组织政务公开工作人员和分管领导，参加了三次区政府举办的政务公开业务培训，认真听取了专家的讲课，提高了政务公开工作人员的业务能力和水平。</w:t>
      </w:r>
    </w:p>
    <w:p>
      <w:pPr>
        <w:pStyle w:val="2"/>
        <w:keepNext w:val="0"/>
        <w:keepLines w:val="0"/>
        <w:widowControl/>
        <w:suppressLineNumbers w:val="0"/>
        <w:shd w:val="clear" w:fill="FFFFFF"/>
        <w:spacing w:line="600" w:lineRule="atLeast"/>
        <w:ind w:left="0" w:firstLine="435"/>
      </w:pPr>
      <w:r>
        <w:rPr>
          <w:rStyle w:val="5"/>
          <w:rFonts w:hint="eastAsia" w:ascii="仿宋_GB2312" w:hAnsi="仿宋_GB2312" w:eastAsia="仿宋_GB2312" w:cs="仿宋_GB2312"/>
          <w:color w:val="333333"/>
          <w:sz w:val="30"/>
          <w:szCs w:val="30"/>
          <w:shd w:val="clear" w:fill="FFFFFF"/>
        </w:rPr>
        <w:t> （二）主动公开政府信息情况</w:t>
      </w:r>
    </w:p>
    <w:p>
      <w:pPr>
        <w:pStyle w:val="2"/>
        <w:keepNext w:val="0"/>
        <w:keepLines w:val="0"/>
        <w:widowControl/>
        <w:suppressLineNumbers w:val="0"/>
        <w:shd w:val="clear" w:fill="FFFFFF"/>
        <w:spacing w:line="600" w:lineRule="atLeast"/>
        <w:ind w:left="0" w:firstLine="435"/>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333333"/>
          <w:sz w:val="32"/>
          <w:szCs w:val="32"/>
          <w:bdr w:val="none" w:color="000000" w:sz="6" w:space="0"/>
          <w:shd w:val="clear" w:fill="FFFFFF"/>
        </w:rPr>
        <w:t> 1、主动公开政府信息情况。</w:t>
      </w:r>
    </w:p>
    <w:p>
      <w:pPr>
        <w:pStyle w:val="2"/>
        <w:keepNext w:val="0"/>
        <w:keepLines w:val="0"/>
        <w:widowControl/>
        <w:suppressLineNumbers w:val="0"/>
        <w:shd w:val="clear" w:fill="FFFFFF"/>
        <w:spacing w:line="600" w:lineRule="atLeast"/>
        <w:ind w:left="0" w:firstLine="435"/>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333333"/>
          <w:sz w:val="32"/>
          <w:szCs w:val="32"/>
          <w:bdr w:val="none" w:color="000000" w:sz="6" w:space="0"/>
          <w:shd w:val="clear" w:fill="FFFFFF"/>
        </w:rPr>
        <w:t> 2020年我局通过区政府门户网站、电子政务平台等形式，主动公开信息共71条。袁州区工信局政府门户网站政务信息公开平台目前共有七个栏目，分别是：公开指南、机构概况、政务动态、公告公示、法规文件、规划计划、政府信息公开年度报告。其中公开指南1篇；机构概况1篇；政务动态47篇，公告公示16篇；法规文件3篇；规划计划2篇；政府信息公开年度报告1篇。</w:t>
      </w:r>
    </w:p>
    <w:p>
      <w:pPr>
        <w:pStyle w:val="2"/>
        <w:keepNext w:val="0"/>
        <w:keepLines w:val="0"/>
        <w:widowControl/>
        <w:suppressLineNumbers w:val="0"/>
        <w:shd w:val="clear" w:fill="FFFFFF"/>
        <w:spacing w:line="600" w:lineRule="atLeast"/>
        <w:ind w:left="0" w:firstLine="435"/>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333333"/>
          <w:sz w:val="32"/>
          <w:szCs w:val="32"/>
          <w:bdr w:val="none" w:color="000000" w:sz="6" w:space="0"/>
          <w:shd w:val="clear" w:fill="FFFFFF"/>
        </w:rPr>
        <w:t> 2、依申请公开政府信息情况。2020年我局未收到依申请公开政府信息。</w:t>
      </w:r>
    </w:p>
    <w:p>
      <w:pPr>
        <w:pStyle w:val="2"/>
        <w:keepNext w:val="0"/>
        <w:keepLines w:val="0"/>
        <w:widowControl/>
        <w:suppressLineNumbers w:val="0"/>
        <w:shd w:val="clear" w:fill="FFFFFF"/>
        <w:spacing w:line="600" w:lineRule="atLeast"/>
        <w:ind w:left="0" w:firstLine="435"/>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333333"/>
          <w:sz w:val="32"/>
          <w:szCs w:val="32"/>
          <w:bdr w:val="none" w:color="000000" w:sz="6" w:space="0"/>
          <w:shd w:val="clear" w:fill="FFFFFF"/>
        </w:rPr>
        <w:t> 3、政府信息公开申请行政复议、提起行政诉讼情况。2020年未发生针对本部门有关政府信息公开事务的行政复议和行政诉讼案件。</w:t>
      </w:r>
    </w:p>
    <w:p>
      <w:pPr>
        <w:pStyle w:val="2"/>
        <w:keepNext w:val="0"/>
        <w:keepLines w:val="0"/>
        <w:widowControl/>
        <w:suppressLineNumbers w:val="0"/>
        <w:shd w:val="clear" w:fill="FFFFFF"/>
        <w:spacing w:line="600" w:lineRule="atLeast"/>
        <w:ind w:left="0" w:firstLine="435"/>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333333"/>
          <w:sz w:val="32"/>
          <w:szCs w:val="32"/>
          <w:bdr w:val="none" w:color="000000" w:sz="6" w:space="0"/>
          <w:shd w:val="clear" w:fill="FFFFFF"/>
        </w:rPr>
        <w:t>  4、依申请公开信息公开收费及减免情况。2020年度，我局政府信息公开工作无收费情况。</w:t>
      </w:r>
    </w:p>
    <w:p>
      <w:pPr>
        <w:pStyle w:val="2"/>
        <w:keepNext w:val="0"/>
        <w:keepLines w:val="0"/>
        <w:widowControl/>
        <w:suppressLineNumbers w:val="0"/>
        <w:shd w:val="clear" w:fill="FFFFFF"/>
        <w:spacing w:line="600" w:lineRule="atLeast"/>
        <w:ind w:left="0" w:firstLine="435"/>
      </w:pPr>
      <w:r>
        <w:rPr>
          <w:rStyle w:val="5"/>
          <w:rFonts w:hint="eastAsia" w:ascii="黑体" w:hAnsi="宋体" w:eastAsia="黑体" w:cs="黑体"/>
          <w:color w:val="333333"/>
          <w:sz w:val="30"/>
          <w:szCs w:val="30"/>
          <w:shd w:val="clear" w:fill="FFFFFF"/>
        </w:rPr>
        <w:t> 二、主动公开政府信息情况</w:t>
      </w:r>
    </w:p>
    <w:tbl>
      <w:tblPr>
        <w:tblW w:w="814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50"/>
        <w:gridCol w:w="1890"/>
        <w:gridCol w:w="127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blCellSpacing w:w="0" w:type="dxa"/>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spacing w:after="180" w:afterAutospacing="0"/>
              <w:jc w:val="center"/>
            </w:pPr>
            <w:r>
              <w:rPr>
                <w:rFonts w:ascii="微软雅黑" w:hAnsi="微软雅黑" w:eastAsia="微软雅黑" w:cs="微软雅黑"/>
                <w:color w:val="000000"/>
                <w:sz w:val="19"/>
                <w:szCs w:val="19"/>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本年新</w:t>
            </w:r>
            <w:r>
              <w:rPr>
                <w:rFonts w:hint="eastAsia" w:ascii="微软雅黑" w:hAnsi="微软雅黑" w:eastAsia="微软雅黑" w:cs="微软雅黑"/>
                <w:color w:val="000000"/>
                <w:sz w:val="19"/>
                <w:szCs w:val="19"/>
                <w:bdr w:val="none" w:color="auto" w:sz="0" w:space="0"/>
              </w:rPr>
              <w:br w:type="textWrapping"/>
            </w:r>
            <w:r>
              <w:rPr>
                <w:rFonts w:hint="eastAsia" w:ascii="微软雅黑" w:hAnsi="微软雅黑" w:eastAsia="微软雅黑" w:cs="微软雅黑"/>
                <w:sz w:val="19"/>
                <w:szCs w:val="19"/>
                <w:bdr w:val="none" w:color="auto" w:sz="0" w:space="0"/>
              </w:rPr>
              <w:t>制作数量</w:t>
            </w:r>
          </w:p>
        </w:tc>
        <w:tc>
          <w:tcPr>
            <w:tcW w:w="12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本年新</w:t>
            </w:r>
            <w:r>
              <w:rPr>
                <w:rFonts w:hint="eastAsia" w:ascii="微软雅黑" w:hAnsi="微软雅黑" w:eastAsia="微软雅黑" w:cs="微软雅黑"/>
                <w:color w:val="000000"/>
                <w:sz w:val="19"/>
                <w:szCs w:val="19"/>
                <w:bdr w:val="none" w:color="auto" w:sz="0" w:space="0"/>
              </w:rPr>
              <w:br w:type="textWrapping"/>
            </w:r>
            <w:r>
              <w:rPr>
                <w:rFonts w:hint="eastAsia" w:ascii="微软雅黑" w:hAnsi="微软雅黑" w:eastAsia="微软雅黑" w:cs="微软雅黑"/>
                <w:sz w:val="19"/>
                <w:szCs w:val="19"/>
                <w:bdr w:val="none" w:color="auto" w:sz="0" w:space="0"/>
              </w:rPr>
              <w:t>公开数量</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left"/>
            </w:pPr>
            <w:r>
              <w:rPr>
                <w:rFonts w:hint="eastAsia" w:ascii="微软雅黑" w:hAnsi="微软雅黑" w:eastAsia="微软雅黑" w:cs="微软雅黑"/>
                <w:color w:val="000000"/>
                <w:sz w:val="19"/>
                <w:szCs w:val="19"/>
                <w:bdr w:val="none" w:color="auto" w:sz="0" w:space="0"/>
              </w:rPr>
              <w:t>规章</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wordWrap w:val="0"/>
              <w:jc w:val="left"/>
            </w:pPr>
            <w:r>
              <w:rPr>
                <w:bdr w:val="none" w:color="auto" w:sz="0" w:space="0"/>
              </w:rPr>
              <w:t>0</w:t>
            </w:r>
          </w:p>
        </w:tc>
        <w:tc>
          <w:tcPr>
            <w:tcW w:w="12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wordWrap w:val="0"/>
              <w:jc w:val="left"/>
            </w:pPr>
            <w:r>
              <w:rPr>
                <w:bdr w:val="none" w:color="auto" w:sz="0" w:space="0"/>
              </w:rPr>
              <w:t>0</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wordWrap w:val="0"/>
              <w:jc w:val="left"/>
            </w:pPr>
            <w:r>
              <w:rPr>
                <w:rFonts w:hint="eastAsia" w:ascii="微软雅黑" w:hAnsi="微软雅黑" w:eastAsia="微软雅黑" w:cs="微软雅黑"/>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left"/>
            </w:pPr>
            <w:r>
              <w:rPr>
                <w:rFonts w:hint="eastAsia" w:ascii="微软雅黑" w:hAnsi="微软雅黑" w:eastAsia="微软雅黑" w:cs="微软雅黑"/>
                <w:color w:val="000000"/>
                <w:sz w:val="19"/>
                <w:szCs w:val="19"/>
                <w:bdr w:val="none" w:color="auto" w:sz="0" w:space="0"/>
              </w:rPr>
              <w:t>规范性文件</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12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上一年项目数量</w:t>
            </w:r>
          </w:p>
        </w:tc>
        <w:tc>
          <w:tcPr>
            <w:tcW w:w="12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本年增/减</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left"/>
            </w:pPr>
            <w:r>
              <w:rPr>
                <w:rFonts w:hint="eastAsia" w:ascii="微软雅黑" w:hAnsi="微软雅黑" w:eastAsia="微软雅黑" w:cs="微软雅黑"/>
                <w:color w:val="000000"/>
                <w:sz w:val="19"/>
                <w:szCs w:val="19"/>
                <w:bdr w:val="none" w:color="auto" w:sz="0" w:space="0"/>
              </w:rPr>
              <w:t>行政许可</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1260"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left"/>
            </w:pPr>
            <w:r>
              <w:rPr>
                <w:rFonts w:hint="eastAsia" w:ascii="微软雅黑" w:hAnsi="微软雅黑" w:eastAsia="微软雅黑" w:cs="微软雅黑"/>
                <w:color w:val="000000"/>
                <w:sz w:val="19"/>
                <w:szCs w:val="19"/>
                <w:bdr w:val="none" w:color="auto" w:sz="0" w:space="0"/>
              </w:rPr>
              <w:t>其他对外管理服务事项</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1260"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上一年项目数量</w:t>
            </w:r>
          </w:p>
        </w:tc>
        <w:tc>
          <w:tcPr>
            <w:tcW w:w="12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本年增/减</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left"/>
            </w:pPr>
            <w:r>
              <w:rPr>
                <w:rFonts w:hint="eastAsia" w:ascii="微软雅黑" w:hAnsi="微软雅黑" w:eastAsia="微软雅黑" w:cs="微软雅黑"/>
                <w:color w:val="000000"/>
                <w:sz w:val="19"/>
                <w:szCs w:val="19"/>
                <w:bdr w:val="none" w:color="auto" w:sz="0" w:space="0"/>
              </w:rPr>
              <w:t>行政处罚</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1260"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left"/>
            </w:pPr>
            <w:r>
              <w:rPr>
                <w:rFonts w:hint="eastAsia" w:ascii="微软雅黑" w:hAnsi="微软雅黑" w:eastAsia="微软雅黑" w:cs="微软雅黑"/>
                <w:color w:val="000000"/>
                <w:sz w:val="19"/>
                <w:szCs w:val="19"/>
                <w:bdr w:val="none" w:color="auto" w:sz="0" w:space="0"/>
              </w:rPr>
              <w:t>行政强制</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1260"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信息内容</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left"/>
            </w:pPr>
            <w:r>
              <w:rPr>
                <w:rFonts w:hint="eastAsia" w:ascii="微软雅黑" w:hAnsi="微软雅黑" w:eastAsia="微软雅黑" w:cs="微软雅黑"/>
                <w:color w:val="000000"/>
                <w:sz w:val="19"/>
                <w:szCs w:val="19"/>
                <w:bdr w:val="none" w:color="auto" w:sz="0" w:space="0"/>
              </w:rPr>
              <w:t>上一年项目数量</w:t>
            </w:r>
          </w:p>
        </w:tc>
        <w:tc>
          <w:tcPr>
            <w:tcW w:w="3150" w:type="dxa"/>
            <w:gridSpan w:val="2"/>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left"/>
            </w:pPr>
            <w:r>
              <w:rPr>
                <w:rFonts w:hint="eastAsia" w:ascii="微软雅黑" w:hAnsi="微软雅黑" w:eastAsia="微软雅黑" w:cs="微软雅黑"/>
                <w:color w:val="000000"/>
                <w:sz w:val="19"/>
                <w:szCs w:val="19"/>
                <w:bdr w:val="none" w:color="auto" w:sz="0" w:space="0"/>
              </w:rPr>
              <w:t>行政事业性收费</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3150" w:type="dxa"/>
            <w:gridSpan w:val="2"/>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信息内容</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采购项目数量</w:t>
            </w:r>
          </w:p>
        </w:tc>
        <w:tc>
          <w:tcPr>
            <w:tcW w:w="3150" w:type="dxa"/>
            <w:gridSpan w:val="2"/>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spacing w:after="180" w:afterAutospacing="0"/>
              <w:jc w:val="left"/>
            </w:pPr>
            <w:r>
              <w:rPr>
                <w:rFonts w:hint="eastAsia" w:ascii="微软雅黑" w:hAnsi="微软雅黑" w:eastAsia="微软雅黑" w:cs="微软雅黑"/>
                <w:color w:val="000000"/>
                <w:sz w:val="19"/>
                <w:szCs w:val="19"/>
                <w:bdr w:val="none" w:color="auto" w:sz="0" w:space="0"/>
              </w:rPr>
              <w:t>政府集中采购</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3150" w:type="dxa"/>
            <w:gridSpan w:val="2"/>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bl>
    <w:p>
      <w:pPr>
        <w:pStyle w:val="2"/>
        <w:keepNext w:val="0"/>
        <w:keepLines w:val="0"/>
        <w:widowControl/>
        <w:suppressLineNumbers w:val="0"/>
        <w:shd w:val="clear" w:fill="FFFFFF"/>
        <w:spacing w:before="240" w:beforeAutospacing="0" w:line="450" w:lineRule="atLeast"/>
      </w:pPr>
      <w:r>
        <w:rPr>
          <w:rStyle w:val="5"/>
          <w:rFonts w:hint="eastAsia" w:ascii="黑体" w:hAnsi="宋体" w:eastAsia="黑体" w:cs="黑体"/>
          <w:color w:val="333333"/>
          <w:sz w:val="30"/>
          <w:szCs w:val="30"/>
          <w:shd w:val="clear" w:fill="FFFFFF"/>
        </w:rPr>
        <w:t>   三、收到和处理政府信息公开申请情况</w:t>
      </w:r>
    </w:p>
    <w:tbl>
      <w:tblPr>
        <w:tblW w:w="907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20"/>
        <w:gridCol w:w="853"/>
        <w:gridCol w:w="2085"/>
        <w:gridCol w:w="813"/>
        <w:gridCol w:w="755"/>
        <w:gridCol w:w="755"/>
        <w:gridCol w:w="813"/>
        <w:gridCol w:w="973"/>
        <w:gridCol w:w="711"/>
        <w:gridCol w:w="6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480" w:type="dxa"/>
            <w:gridSpan w:val="3"/>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（本列数据的勾稽关系为：第一项加第二项之和，等于第三项加第四项之和）</w:t>
            </w:r>
          </w:p>
        </w:tc>
        <w:tc>
          <w:tcPr>
            <w:tcW w:w="5595" w:type="dxa"/>
            <w:gridSpan w:val="7"/>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480" w:type="dxa"/>
            <w:gridSpan w:val="3"/>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2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自然人</w:t>
            </w:r>
          </w:p>
        </w:tc>
        <w:tc>
          <w:tcPr>
            <w:tcW w:w="4065" w:type="dxa"/>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法人或其他组织</w:t>
            </w:r>
          </w:p>
        </w:tc>
        <w:tc>
          <w:tcPr>
            <w:tcW w:w="70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480" w:type="dxa"/>
            <w:gridSpan w:val="3"/>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2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商业企业</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科研机构</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社会公益组织</w:t>
            </w:r>
          </w:p>
        </w:tc>
        <w:tc>
          <w:tcPr>
            <w:tcW w:w="9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法律服务机构</w:t>
            </w:r>
          </w:p>
        </w:tc>
        <w:tc>
          <w:tcPr>
            <w:tcW w:w="72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其他</w:t>
            </w:r>
          </w:p>
        </w:tc>
        <w:tc>
          <w:tcPr>
            <w:tcW w:w="70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48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微软雅黑" w:hAnsi="微软雅黑" w:eastAsia="微软雅黑" w:cs="微软雅黑"/>
                <w:sz w:val="19"/>
                <w:szCs w:val="19"/>
                <w:bdr w:val="none" w:color="auto" w:sz="0" w:space="0"/>
              </w:rPr>
              <w:t>一、本年新收政府信息公开申请数量</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48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微软雅黑" w:hAnsi="微软雅黑" w:eastAsia="微软雅黑" w:cs="微软雅黑"/>
                <w:sz w:val="19"/>
                <w:szCs w:val="19"/>
                <w:bdr w:val="none" w:color="auto" w:sz="0" w:space="0"/>
              </w:rPr>
              <w:t>二、上年结转政府信息公开申请数量</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三、本年度办理结果</w:t>
            </w:r>
          </w:p>
        </w:tc>
        <w:tc>
          <w:tcPr>
            <w:tcW w:w="298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ascii="楷体" w:hAnsi="楷体" w:eastAsia="楷体" w:cs="楷体"/>
                <w:sz w:val="19"/>
                <w:szCs w:val="19"/>
                <w:bdr w:val="none" w:color="auto" w:sz="0" w:space="0"/>
              </w:rPr>
              <w:t>（一）予以公开</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98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（二）部分公开（区分处理的，只计这一情形，不计其他情形）</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（三）不予公开</w:t>
            </w: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1.属于国家秘密</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2.其他法律行政法规禁止公开</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3.危及“三安全一稳定”</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4.保护第三方合法权益</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5.属于三类内部事务信息</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6.属于四类过程性信息</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7.属于行政执法案卷</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8.属于行政查询事项</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（四）无法提供</w:t>
            </w: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1.本机关不掌握相关政府信息</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2.没有现成信息需要另行制作</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3.补正后申请内容仍不明确</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（五）不予处理</w:t>
            </w: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1.信访举报投诉类申请</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2.重复申请</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3.要求提供公开出版物</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4.无正当理由大量反复申请</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5.要求行政机关确认或重新出具已获取信息</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98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（六）其他处理</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98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楷体" w:hAnsi="楷体" w:eastAsia="楷体" w:cs="楷体"/>
                <w:sz w:val="19"/>
                <w:szCs w:val="19"/>
                <w:bdr w:val="none" w:color="auto" w:sz="0" w:space="0"/>
              </w:rPr>
              <w:t>（七）总计</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48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left"/>
            </w:pPr>
            <w:r>
              <w:rPr>
                <w:rFonts w:hint="eastAsia" w:ascii="微软雅黑" w:hAnsi="微软雅黑" w:eastAsia="微软雅黑" w:cs="微软雅黑"/>
                <w:sz w:val="19"/>
                <w:szCs w:val="19"/>
                <w:bdr w:val="none" w:color="auto" w:sz="0" w:space="0"/>
              </w:rPr>
              <w:t>四、结转下年度继续办理</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bl>
    <w:p>
      <w:pPr>
        <w:pStyle w:val="2"/>
        <w:keepNext w:val="0"/>
        <w:keepLines w:val="0"/>
        <w:widowControl/>
        <w:suppressLineNumbers w:val="0"/>
        <w:shd w:val="clear" w:fill="FFFFFF"/>
        <w:spacing w:before="240" w:beforeAutospacing="0" w:line="450" w:lineRule="atLeast"/>
      </w:pPr>
      <w:r>
        <w:rPr>
          <w:rStyle w:val="5"/>
          <w:rFonts w:hint="eastAsia" w:ascii="黑体" w:hAnsi="宋体" w:eastAsia="黑体" w:cs="黑体"/>
          <w:color w:val="333333"/>
          <w:sz w:val="30"/>
          <w:szCs w:val="30"/>
          <w:shd w:val="clear" w:fill="FFFFFF"/>
        </w:rPr>
        <w:t>   四、政府信息公开行政复议、行政诉讼情况</w:t>
      </w:r>
    </w:p>
    <w:tbl>
      <w:tblPr>
        <w:tblW w:w="907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075" w:type="dxa"/>
            <w:gridSpan w:val="5"/>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行政复议</w:t>
            </w:r>
          </w:p>
        </w:tc>
        <w:tc>
          <w:tcPr>
            <w:tcW w:w="6000" w:type="dxa"/>
            <w:gridSpan w:val="10"/>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结果维持</w:t>
            </w:r>
          </w:p>
        </w:tc>
        <w:tc>
          <w:tcPr>
            <w:tcW w:w="60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结果纠正</w:t>
            </w:r>
          </w:p>
        </w:tc>
        <w:tc>
          <w:tcPr>
            <w:tcW w:w="600"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其他结果</w:t>
            </w:r>
          </w:p>
        </w:tc>
        <w:tc>
          <w:tcPr>
            <w:tcW w:w="600"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尚未审结</w:t>
            </w:r>
          </w:p>
        </w:tc>
        <w:tc>
          <w:tcPr>
            <w:tcW w:w="660"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总计</w:t>
            </w:r>
          </w:p>
        </w:tc>
        <w:tc>
          <w:tcPr>
            <w:tcW w:w="2970" w:type="dxa"/>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未经复议直接起诉</w:t>
            </w:r>
          </w:p>
        </w:tc>
        <w:tc>
          <w:tcPr>
            <w:tcW w:w="3030" w:type="dxa"/>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00"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00"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60"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结果维持</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结果纠正</w:t>
            </w:r>
          </w:p>
        </w:tc>
        <w:tc>
          <w:tcPr>
            <w:tcW w:w="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其他结果</w:t>
            </w:r>
          </w:p>
        </w:tc>
        <w:tc>
          <w:tcPr>
            <w:tcW w:w="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尚未审结</w:t>
            </w:r>
          </w:p>
        </w:tc>
        <w:tc>
          <w:tcPr>
            <w:tcW w:w="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总计</w:t>
            </w:r>
          </w:p>
        </w:tc>
        <w:tc>
          <w:tcPr>
            <w:tcW w:w="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结果维持</w:t>
            </w:r>
          </w:p>
        </w:tc>
        <w:tc>
          <w:tcPr>
            <w:tcW w:w="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​结果纠正</w:t>
            </w:r>
          </w:p>
        </w:tc>
        <w:tc>
          <w:tcPr>
            <w:tcW w:w="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其他结果</w:t>
            </w:r>
          </w:p>
        </w:tc>
        <w:tc>
          <w:tcPr>
            <w:tcW w:w="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sz w:val="19"/>
                <w:szCs w:val="19"/>
                <w:bdr w:val="none" w:color="auto" w:sz="0" w:space="0"/>
              </w:rPr>
              <w:t>尚未审结</w:t>
            </w:r>
          </w:p>
        </w:tc>
        <w:tc>
          <w:tcPr>
            <w:tcW w:w="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19"/>
                <w:szCs w:val="19"/>
                <w:bdr w:val="none" w:color="auto" w:sz="0" w:space="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6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0</w:t>
            </w:r>
          </w:p>
        </w:tc>
      </w:tr>
    </w:tbl>
    <w:p>
      <w:pPr>
        <w:pStyle w:val="2"/>
        <w:keepNext w:val="0"/>
        <w:keepLines w:val="0"/>
        <w:widowControl/>
        <w:suppressLineNumbers w:val="0"/>
        <w:shd w:val="clear" w:fill="FFFFFF"/>
        <w:spacing w:line="600" w:lineRule="atLeast"/>
      </w:pPr>
      <w:r>
        <w:rPr>
          <w:rStyle w:val="5"/>
          <w:rFonts w:hint="eastAsia" w:ascii="黑体" w:hAnsi="宋体" w:eastAsia="黑体" w:cs="黑体"/>
          <w:color w:val="333333"/>
          <w:sz w:val="30"/>
          <w:szCs w:val="30"/>
          <w:shd w:val="clear" w:fill="FFFFFF"/>
        </w:rPr>
        <w:t>   五、存在的主要问题及改进情况</w:t>
      </w:r>
    </w:p>
    <w:p>
      <w:pPr>
        <w:pStyle w:val="2"/>
        <w:keepNext w:val="0"/>
        <w:keepLines w:val="0"/>
        <w:widowControl/>
        <w:suppressLineNumbers w:val="0"/>
        <w:shd w:val="clear" w:fill="FFFFFF"/>
        <w:spacing w:line="600" w:lineRule="atLeast"/>
        <w:jc w:val="left"/>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rPr>
        <w:t xml:space="preserve">  </w:t>
      </w:r>
      <w:r>
        <w:rPr>
          <w:rFonts w:hint="eastAsia" w:ascii="仿宋_GB2312" w:hAnsi="仿宋_GB2312" w:eastAsia="仿宋_GB2312" w:cs="仿宋_GB2312"/>
          <w:color w:val="333333"/>
          <w:sz w:val="30"/>
          <w:szCs w:val="30"/>
          <w:shd w:val="clear" w:fill="FFFFFF"/>
        </w:rPr>
        <w:t> 一是发布的信息时效性还是不够强，有时存在信息报送和发布不够及时的问题。改进情况</w:t>
      </w:r>
      <w:r>
        <w:rPr>
          <w:rFonts w:hint="eastAsia" w:ascii="仿宋_GB2312" w:hAnsi="仿宋_GB2312" w:eastAsia="仿宋_GB2312" w:cs="仿宋_GB2312"/>
          <w:color w:val="333333"/>
          <w:sz w:val="30"/>
          <w:szCs w:val="30"/>
          <w:shd w:val="clear" w:fill="FFFFFF"/>
          <w:lang w:eastAsia="zh-CN"/>
        </w:rPr>
        <w:t>：</w:t>
      </w:r>
      <w:r>
        <w:rPr>
          <w:rFonts w:hint="eastAsia" w:ascii="仿宋_GB2312" w:hAnsi="仿宋_GB2312" w:eastAsia="仿宋_GB2312" w:cs="仿宋_GB2312"/>
          <w:color w:val="333333"/>
          <w:sz w:val="30"/>
          <w:szCs w:val="30"/>
          <w:shd w:val="clear" w:fill="FFFFFF"/>
        </w:rPr>
        <w:t>一是通过加强对信息报送人员的培训，加强教育，提高业务人员的业务水平和意识</w:t>
      </w:r>
      <w:r>
        <w:rPr>
          <w:rFonts w:hint="eastAsia" w:ascii="仿宋_GB2312" w:hAnsi="仿宋_GB2312" w:eastAsia="仿宋_GB2312" w:cs="仿宋_GB2312"/>
          <w:color w:val="333333"/>
          <w:sz w:val="30"/>
          <w:szCs w:val="30"/>
          <w:shd w:val="clear" w:fill="FFFFFF"/>
          <w:lang w:eastAsia="zh-CN"/>
        </w:rPr>
        <w:t>，</w:t>
      </w:r>
      <w:r>
        <w:rPr>
          <w:rFonts w:hint="eastAsia" w:ascii="仿宋_GB2312" w:hAnsi="仿宋_GB2312" w:eastAsia="仿宋_GB2312" w:cs="仿宋_GB2312"/>
          <w:color w:val="333333"/>
          <w:sz w:val="30"/>
          <w:szCs w:val="30"/>
          <w:shd w:val="clear" w:fill="FFFFFF"/>
        </w:rPr>
        <w:t>能够及时有效地报送相关信息。</w:t>
      </w:r>
    </w:p>
    <w:p>
      <w:pPr>
        <w:pStyle w:val="2"/>
        <w:keepNext w:val="0"/>
        <w:keepLines w:val="0"/>
        <w:widowControl/>
        <w:suppressLineNumbers w:val="0"/>
        <w:shd w:val="clear" w:fill="FFFFFF"/>
        <w:spacing w:line="600" w:lineRule="atLeast"/>
        <w:jc w:val="left"/>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rPr>
        <w:t>   二是对政务公开标准化规范化工作的认识还要进一步加强，对政务公开标准化规范化的要求，了解还不是十分清楚。改进情</w:t>
      </w:r>
      <w:bookmarkStart w:id="0" w:name="_GoBack"/>
      <w:bookmarkEnd w:id="0"/>
      <w:r>
        <w:rPr>
          <w:rFonts w:hint="eastAsia" w:ascii="仿宋_GB2312" w:hAnsi="仿宋_GB2312" w:eastAsia="仿宋_GB2312" w:cs="仿宋_GB2312"/>
          <w:color w:val="333333"/>
          <w:sz w:val="30"/>
          <w:szCs w:val="30"/>
          <w:shd w:val="clear" w:fill="FFFFFF"/>
        </w:rPr>
        <w:t>况：政务公开工作</w:t>
      </w:r>
      <w:r>
        <w:rPr>
          <w:rFonts w:hint="eastAsia" w:ascii="仿宋_GB2312" w:hAnsi="仿宋_GB2312" w:eastAsia="仿宋_GB2312" w:cs="仿宋_GB2312"/>
          <w:color w:val="333333"/>
          <w:sz w:val="30"/>
          <w:szCs w:val="30"/>
          <w:shd w:val="clear" w:fill="FFFFFF"/>
          <w:lang w:eastAsia="zh-CN"/>
        </w:rPr>
        <w:t>不仅仅是</w:t>
      </w:r>
      <w:r>
        <w:rPr>
          <w:rFonts w:hint="eastAsia" w:ascii="仿宋_GB2312" w:hAnsi="仿宋_GB2312" w:eastAsia="仿宋_GB2312" w:cs="仿宋_GB2312"/>
          <w:color w:val="333333"/>
          <w:sz w:val="30"/>
          <w:szCs w:val="30"/>
          <w:shd w:val="clear" w:fill="FFFFFF"/>
        </w:rPr>
        <w:t>政务公开工作人员的事，而且是政府部门的事。所以要加强机关工作人员，特别是领导班子成员对政务公开工作的培训教育，提高全体政府工作人员政务公开的意识，在依法依规行政的过程中，能够自觉做到政务公开。</w:t>
      </w:r>
    </w:p>
    <w:p>
      <w:pPr>
        <w:pStyle w:val="2"/>
        <w:keepNext w:val="0"/>
        <w:keepLines w:val="0"/>
        <w:widowControl/>
        <w:suppressLineNumbers w:val="0"/>
        <w:shd w:val="clear" w:fill="FFFFFF"/>
        <w:spacing w:line="600" w:lineRule="atLeast"/>
      </w:pPr>
      <w:r>
        <w:rPr>
          <w:rStyle w:val="5"/>
          <w:rFonts w:hint="eastAsia" w:ascii="黑体" w:hAnsi="宋体" w:eastAsia="黑体" w:cs="黑体"/>
          <w:color w:val="333333"/>
          <w:sz w:val="30"/>
          <w:szCs w:val="30"/>
          <w:shd w:val="clear" w:fill="FFFFFF"/>
        </w:rPr>
        <w:t>   六、其他需要报告的事项</w:t>
      </w:r>
    </w:p>
    <w:p>
      <w:pPr>
        <w:pStyle w:val="2"/>
        <w:keepNext w:val="0"/>
        <w:keepLines w:val="0"/>
        <w:widowControl/>
        <w:suppressLineNumbers w:val="0"/>
        <w:shd w:val="clear" w:fill="FFFFFF"/>
        <w:spacing w:line="600" w:lineRule="atLeast"/>
        <w:jc w:val="left"/>
        <w:rPr>
          <w:rFonts w:hint="eastAsia" w:ascii="仿宋_GB2312" w:hAnsi="仿宋_GB2312" w:eastAsia="仿宋_GB2312" w:cs="仿宋_GB2312"/>
          <w:color w:val="333333"/>
          <w:sz w:val="30"/>
          <w:szCs w:val="30"/>
          <w:shd w:val="clear" w:fill="FFFFFF"/>
        </w:rPr>
      </w:pPr>
      <w:r>
        <w:rPr>
          <w:rFonts w:hint="eastAsia" w:ascii="仿宋_GB2312" w:hAnsi="仿宋_GB2312" w:eastAsia="仿宋_GB2312" w:cs="仿宋_GB2312"/>
          <w:color w:val="333333"/>
          <w:sz w:val="30"/>
          <w:szCs w:val="30"/>
          <w:shd w:val="clear" w:fill="FFFFFF"/>
        </w:rPr>
        <w:t>   根据今年区政府《袁州区本级政府信息主动公开事项标准目录》的要求，对于公开事项中一级目录：重点领域中的二级目录：重大建设项目批准和实施的公开要求，我局企业投资项目备案信息要在区政府网站中进行公开。自今年8月份开始，按照区政府信息主动公开事项标准化的要求，我局对在我局进行企业投资项目备案的信息在公告公示栏中进行了公开，共公开8条工业企业技术改造类项目备案信息。以上项目均在江西省投资项目在线审批监管平台进行办理。</w:t>
      </w:r>
    </w:p>
    <w:p>
      <w:pPr>
        <w:pStyle w:val="2"/>
        <w:keepNext w:val="0"/>
        <w:keepLines w:val="0"/>
        <w:widowControl/>
        <w:suppressLineNumbers w:val="0"/>
        <w:shd w:val="clear" w:fill="FFFFFF"/>
        <w:spacing w:line="600" w:lineRule="atLeast"/>
        <w:jc w:val="left"/>
        <w:rPr>
          <w:rFonts w:hint="eastAsia" w:ascii="仿宋_GB2312" w:hAnsi="仿宋_GB2312" w:eastAsia="仿宋_GB2312" w:cs="仿宋_GB2312"/>
          <w:color w:val="333333"/>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C6FEE2F-320A-4D5E-9D8E-1A2C9586698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embedRegular r:id="rId2" w:fontKey="{4E367758-DF1B-4027-A185-27D724C941CE}"/>
  </w:font>
  <w:font w:name="微软雅黑">
    <w:panose1 w:val="020B0503020204020204"/>
    <w:charset w:val="86"/>
    <w:family w:val="auto"/>
    <w:pitch w:val="default"/>
    <w:sig w:usb0="80000287" w:usb1="280F3C52" w:usb2="00000016" w:usb3="00000000" w:csb0="0004001F" w:csb1="00000000"/>
    <w:embedRegular r:id="rId3" w:fontKey="{9202EAE8-A35B-4AB1-9905-C895EB759E3D}"/>
  </w:font>
  <w:font w:name="楷体">
    <w:panose1 w:val="02010609060101010101"/>
    <w:charset w:val="86"/>
    <w:family w:val="auto"/>
    <w:pitch w:val="default"/>
    <w:sig w:usb0="800002BF" w:usb1="38CF7CFA" w:usb2="00000016" w:usb3="00000000" w:csb0="00040001" w:csb1="00000000"/>
    <w:embedRegular r:id="rId4" w:fontKey="{7C0E4B46-71D2-46C8-BD27-A80D113B833E}"/>
  </w:font>
  <w:font w:name="方正仿宋_GB2312">
    <w:panose1 w:val="02000000000000000000"/>
    <w:charset w:val="86"/>
    <w:family w:val="auto"/>
    <w:pitch w:val="default"/>
    <w:sig w:usb0="A00002BF" w:usb1="184F6CFA" w:usb2="00000012" w:usb3="00000000" w:csb0="00040001" w:csb1="00000000"/>
    <w:embedRegular r:id="rId5" w:fontKey="{049D0512-4C35-4570-AAE6-8A72D6CBC10B}"/>
  </w:font>
  <w:font w:name="方正公文小标宋">
    <w:panose1 w:val="02000500000000000000"/>
    <w:charset w:val="86"/>
    <w:family w:val="auto"/>
    <w:pitch w:val="default"/>
    <w:sig w:usb0="A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颜楷繁">
    <w:panose1 w:val="02010600000101010101"/>
    <w:charset w:val="86"/>
    <w:family w:val="auto"/>
    <w:pitch w:val="default"/>
    <w:sig w:usb0="00000001" w:usb1="080E0800" w:usb2="00000002" w:usb3="00000000" w:csb0="00040000" w:csb1="00000000"/>
  </w:font>
  <w:font w:name="方正仿宋_GB18030">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YzE4NTUyM2UzMTdlZjgyYzMyMTUwMWYyMzdiMzkifQ=="/>
  </w:docVars>
  <w:rsids>
    <w:rsidRoot w:val="4A507EEB"/>
    <w:rsid w:val="4A507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2024-03-20T09:37:00Z</dcterms:created>
  <dc:creator>周虹</dc:creator>
  <cp:lastModifiedBy>周虹</cp:lastModifiedBy>
  <dcterms:modified xsi:type="dcterms:W3CDTF">2024-03-20T09:44:01Z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D41889A1C9764D8CB735622E144C8955_11</vt:lpwstr>
  </property>
</Properties>
</file>