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44"/>
          <w:szCs w:val="44"/>
          <w:shd w:val="clear" w:fill="FFFFFF"/>
          <w:lang w:val="en-US" w:eastAsia="zh-CN"/>
        </w:rPr>
        <w:t>袁州区水利局2022年</w:t>
      </w:r>
      <w:r>
        <w:rPr>
          <w:rFonts w:hint="eastAsia" w:ascii="宋体" w:hAnsi="宋体" w:eastAsia="宋体" w:cs="宋体"/>
          <w:b/>
          <w:bCs/>
          <w:i w:val="0"/>
          <w:iCs w:val="0"/>
          <w:caps w:val="0"/>
          <w:color w:val="333333"/>
          <w:spacing w:val="0"/>
          <w:sz w:val="44"/>
          <w:szCs w:val="44"/>
          <w:shd w:val="clear" w:fill="FFFFFF"/>
        </w:rPr>
        <w:t>政府信息公开工作年度报告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640"/>
        <w:jc w:val="both"/>
        <w:rPr>
          <w:rFonts w:hint="default" w:ascii="仿宋_GB2312" w:hAnsi="微软雅黑" w:eastAsia="仿宋_GB2312" w:cs="仿宋_GB2312"/>
          <w:i w:val="0"/>
          <w:iCs w:val="0"/>
          <w:caps w:val="0"/>
          <w:color w:val="333333"/>
          <w:spacing w:val="0"/>
          <w:kern w:val="0"/>
          <w:sz w:val="32"/>
          <w:szCs w:val="32"/>
          <w:shd w:val="clear" w:fill="FFFFFF"/>
          <w:lang w:val="en-US" w:eastAsia="zh-CN" w:bidi="ar"/>
        </w:rPr>
      </w:pPr>
      <w:r>
        <w:rPr>
          <w:rFonts w:ascii="仿宋_GB2312" w:hAnsi="微软雅黑" w:eastAsia="仿宋_GB2312" w:cs="仿宋_GB2312"/>
          <w:i w:val="0"/>
          <w:iCs w:val="0"/>
          <w:caps w:val="0"/>
          <w:color w:val="333333"/>
          <w:spacing w:val="0"/>
          <w:kern w:val="0"/>
          <w:sz w:val="32"/>
          <w:szCs w:val="32"/>
          <w:shd w:val="clear" w:fill="FFFFFF"/>
          <w:lang w:val="en-US" w:eastAsia="zh-CN" w:bidi="ar"/>
        </w:rPr>
        <w:t>本年度报告</w:t>
      </w:r>
      <w:r>
        <w:rPr>
          <w:rFonts w:hint="eastAsia" w:ascii="仿宋_GB2312" w:hAnsi="微软雅黑" w:eastAsia="仿宋_GB2312" w:cs="仿宋_GB2312"/>
          <w:i w:val="0"/>
          <w:iCs w:val="0"/>
          <w:caps w:val="0"/>
          <w:color w:val="333333"/>
          <w:spacing w:val="0"/>
          <w:kern w:val="0"/>
          <w:sz w:val="32"/>
          <w:szCs w:val="32"/>
          <w:shd w:val="clear" w:fill="FFFFFF"/>
          <w:lang w:val="en-US" w:eastAsia="zh-CN" w:bidi="ar"/>
        </w:rPr>
        <w:t>根据《中华人民共和国政府信息公开条例》（以下简称《条例》）有关规定，按照国务院办公厅政府信息与政务公开办公室印发《关于做好年度报告编制发布工作的通知》（国办公开办函〔2021〕30号）要求，由袁州区水利局综合局各股室政府信息公开情况编制，全文包括总体情况、主动公开政府信息情况、收到和处理政府信息公开申请情况、因政府信息公开工作被申请行政复议和提起行政诉讼情况、政府信息公开存在的主要问题及改进情况、其他需要报告的事项六部分，并附相关指标统计附表等。本年度报告所列数据统计期限自2022年1月1日起到2022年12月31日止。本报告电子版可在袁州区政府门户网站（www.yzq.gov.cn）下载。如对本报告有疑问，请与我局办公室联系（地址：宜春市袁州区袁州大厦1021室，邮编：336000，联系电话：0795-3216850，电子邮箱：</w:t>
      </w:r>
      <w:r>
        <w:rPr>
          <w:rFonts w:hint="eastAsia" w:ascii="仿宋_GB2312" w:hAnsi="微软雅黑" w:eastAsia="仿宋_GB2312" w:cs="仿宋_GB2312"/>
          <w:i w:val="0"/>
          <w:iCs w:val="0"/>
          <w:caps w:val="0"/>
          <w:color w:val="333333"/>
          <w:spacing w:val="0"/>
          <w:kern w:val="0"/>
          <w:sz w:val="32"/>
          <w:szCs w:val="32"/>
          <w:shd w:val="clear" w:fill="FFFFFF"/>
          <w:lang w:val="en-US" w:eastAsia="zh-CN" w:bidi="ar"/>
        </w:rPr>
        <w:fldChar w:fldCharType="begin"/>
      </w:r>
      <w:r>
        <w:rPr>
          <w:rFonts w:hint="eastAsia" w:ascii="仿宋_GB2312" w:hAnsi="微软雅黑" w:eastAsia="仿宋_GB2312" w:cs="仿宋_GB2312"/>
          <w:i w:val="0"/>
          <w:iCs w:val="0"/>
          <w:caps w:val="0"/>
          <w:color w:val="333333"/>
          <w:spacing w:val="0"/>
          <w:kern w:val="0"/>
          <w:sz w:val="32"/>
          <w:szCs w:val="32"/>
          <w:shd w:val="clear" w:fill="FFFFFF"/>
          <w:lang w:val="en-US" w:eastAsia="zh-CN" w:bidi="ar"/>
        </w:rPr>
        <w:instrText xml:space="preserve"> HYPERLINK "mailto:yzqsljxzb@163.com" </w:instrText>
      </w:r>
      <w:r>
        <w:rPr>
          <w:rFonts w:hint="eastAsia" w:ascii="仿宋_GB2312" w:hAnsi="微软雅黑" w:eastAsia="仿宋_GB2312" w:cs="仿宋_GB2312"/>
          <w:i w:val="0"/>
          <w:iCs w:val="0"/>
          <w:caps w:val="0"/>
          <w:color w:val="333333"/>
          <w:spacing w:val="0"/>
          <w:kern w:val="0"/>
          <w:sz w:val="32"/>
          <w:szCs w:val="32"/>
          <w:shd w:val="clear" w:fill="FFFFFF"/>
          <w:lang w:val="en-US" w:eastAsia="zh-CN" w:bidi="ar"/>
        </w:rPr>
        <w:fldChar w:fldCharType="separate"/>
      </w:r>
      <w:r>
        <w:rPr>
          <w:rStyle w:val="7"/>
          <w:rFonts w:hint="eastAsia" w:ascii="仿宋_GB2312" w:hAnsi="微软雅黑" w:eastAsia="仿宋_GB2312" w:cs="仿宋_GB2312"/>
          <w:i w:val="0"/>
          <w:iCs w:val="0"/>
          <w:caps w:val="0"/>
          <w:spacing w:val="0"/>
          <w:kern w:val="0"/>
          <w:sz w:val="32"/>
          <w:szCs w:val="32"/>
          <w:shd w:val="clear" w:fill="FFFFFF"/>
          <w:lang w:val="en-US" w:eastAsia="zh-CN" w:bidi="ar"/>
        </w:rPr>
        <w:t>yzqsljxzb@163.com</w:t>
      </w:r>
      <w:r>
        <w:rPr>
          <w:rFonts w:hint="eastAsia" w:ascii="仿宋_GB2312" w:hAnsi="微软雅黑" w:eastAsia="仿宋_GB2312" w:cs="仿宋_GB2312"/>
          <w:i w:val="0"/>
          <w:iCs w:val="0"/>
          <w:caps w:val="0"/>
          <w:color w:val="333333"/>
          <w:spacing w:val="0"/>
          <w:kern w:val="0"/>
          <w:sz w:val="32"/>
          <w:szCs w:val="32"/>
          <w:shd w:val="clear" w:fill="FFFFFF"/>
          <w:lang w:val="en-US" w:eastAsia="zh-CN" w:bidi="ar"/>
        </w:rPr>
        <w:fldChar w:fldCharType="end"/>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3" w:firstLineChars="200"/>
        <w:jc w:val="both"/>
        <w:rPr>
          <w:rFonts w:hint="eastAsia" w:ascii="黑体" w:hAnsi="黑体" w:eastAsia="黑体" w:cs="黑体"/>
          <w:i w:val="0"/>
          <w:iCs w:val="0"/>
          <w:caps w:val="0"/>
          <w:color w:val="333333"/>
          <w:spacing w:val="0"/>
          <w:sz w:val="32"/>
          <w:szCs w:val="32"/>
        </w:rPr>
      </w:pPr>
      <w:r>
        <w:rPr>
          <w:rFonts w:hint="eastAsia" w:ascii="黑体" w:hAnsi="黑体" w:eastAsia="黑体" w:cs="黑体"/>
          <w:b/>
          <w:bCs/>
          <w:i w:val="0"/>
          <w:iCs w:val="0"/>
          <w:caps w:val="0"/>
          <w:color w:val="333333"/>
          <w:spacing w:val="0"/>
          <w:sz w:val="32"/>
          <w:szCs w:val="32"/>
          <w:shd w:val="clear" w:fill="FFFFFF"/>
        </w:rPr>
        <w:t>一、总体情况</w:t>
      </w:r>
    </w:p>
    <w:p>
      <w:pPr>
        <w:keepNext w:val="0"/>
        <w:keepLines w:val="0"/>
        <w:pageBreakBefore w:val="0"/>
        <w:widowControl w:val="0"/>
        <w:kinsoku/>
        <w:wordWrap/>
        <w:overflowPunct/>
        <w:topLinePunct w:val="0"/>
        <w:autoSpaceDE/>
        <w:autoSpaceDN/>
        <w:bidi w:val="0"/>
        <w:adjustRightInd w:val="0"/>
        <w:snapToGrid/>
        <w:spacing w:line="600" w:lineRule="exact"/>
        <w:ind w:left="0" w:firstLine="640" w:firstLineChars="200"/>
        <w:textAlignment w:val="auto"/>
        <w:rPr>
          <w:rFonts w:hint="eastAsia" w:ascii="仿宋" w:hAnsi="仿宋" w:eastAsia="仿宋" w:cs="仿宋"/>
          <w:b/>
          <w:i w:val="0"/>
          <w:caps w:val="0"/>
          <w:color w:val="auto"/>
          <w:spacing w:val="0"/>
          <w:sz w:val="32"/>
          <w:szCs w:val="32"/>
          <w:shd w:val="clear" w:fill="FFFFFF"/>
        </w:rPr>
      </w:pPr>
      <w:r>
        <w:rPr>
          <w:rFonts w:hint="eastAsia" w:ascii="仿宋" w:hAnsi="仿宋" w:eastAsia="仿宋" w:cs="仿宋"/>
          <w:sz w:val="32"/>
          <w:szCs w:val="32"/>
          <w:lang w:val="en-US" w:eastAsia="zh-CN"/>
        </w:rPr>
        <w:t>2022年，我局</w:t>
      </w:r>
      <w:r>
        <w:rPr>
          <w:rFonts w:hint="eastAsia" w:ascii="仿宋" w:hAnsi="仿宋" w:eastAsia="仿宋" w:cs="仿宋"/>
          <w:sz w:val="32"/>
          <w:szCs w:val="32"/>
        </w:rPr>
        <w:t>坚持以习近平新时代中国特色社会主义思想为指导，全面贯彻党的各项会议精神和习近平总书记</w:t>
      </w:r>
      <w:r>
        <w:rPr>
          <w:rFonts w:hint="eastAsia" w:ascii="仿宋" w:hAnsi="仿宋" w:eastAsia="仿宋" w:cs="仿宋"/>
          <w:sz w:val="32"/>
          <w:szCs w:val="32"/>
          <w:lang w:eastAsia="zh-CN"/>
        </w:rPr>
        <w:t>视察江西</w:t>
      </w:r>
      <w:r>
        <w:rPr>
          <w:rFonts w:hint="eastAsia" w:ascii="仿宋" w:hAnsi="仿宋" w:eastAsia="仿宋" w:cs="仿宋"/>
          <w:sz w:val="32"/>
          <w:szCs w:val="32"/>
        </w:rPr>
        <w:t>重要讲话精神，深入落实党中央、国务院关于全面推进政务公开工作的部署，坚持以人民为中心的发展理念，聚焦市场主体和社会公众关切，深化政务公开标准化规范化，全面提升工作能级。细化节点与责任，围绕落实新修订的政府信息公开条例加强制度执行，优化营商环境，</w:t>
      </w:r>
      <w:r>
        <w:rPr>
          <w:rFonts w:hint="eastAsia" w:ascii="仿宋" w:hAnsi="仿宋" w:eastAsia="仿宋" w:cs="仿宋"/>
          <w:sz w:val="32"/>
          <w:szCs w:val="32"/>
          <w:lang w:eastAsia="zh-CN"/>
        </w:rPr>
        <w:t>坚持以“</w:t>
      </w:r>
      <w:r>
        <w:rPr>
          <w:rFonts w:hint="eastAsia" w:ascii="仿宋" w:hAnsi="仿宋" w:eastAsia="仿宋" w:cs="仿宋"/>
          <w:sz w:val="32"/>
          <w:szCs w:val="32"/>
        </w:rPr>
        <w:t>公开为常态、不公开为例外</w:t>
      </w:r>
      <w:r>
        <w:rPr>
          <w:rFonts w:hint="eastAsia" w:ascii="仿宋" w:hAnsi="仿宋" w:eastAsia="仿宋" w:cs="仿宋"/>
          <w:sz w:val="32"/>
          <w:szCs w:val="32"/>
          <w:lang w:eastAsia="zh-CN"/>
        </w:rPr>
        <w:t>”</w:t>
      </w:r>
      <w:r>
        <w:rPr>
          <w:rFonts w:hint="eastAsia" w:ascii="仿宋" w:hAnsi="仿宋" w:eastAsia="仿宋" w:cs="仿宋"/>
          <w:sz w:val="32"/>
          <w:szCs w:val="32"/>
        </w:rPr>
        <w:t>，积极发挥新时代政务公开在推进国家治理体系和治理能力现代化中的作用。</w:t>
      </w:r>
    </w:p>
    <w:p>
      <w:pPr>
        <w:pStyle w:val="4"/>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spacing w:before="0" w:beforeAutospacing="0" w:after="0" w:afterAutospacing="0" w:line="600" w:lineRule="exact"/>
        <w:ind w:right="0" w:rightChars="0" w:firstLine="321" w:firstLineChars="100"/>
        <w:jc w:val="both"/>
        <w:textAlignment w:val="auto"/>
        <w:rPr>
          <w:rFonts w:hint="eastAsia" w:ascii="仿宋" w:hAnsi="仿宋" w:eastAsia="仿宋" w:cs="仿宋"/>
          <w:b/>
          <w:bCs/>
          <w:i w:val="0"/>
          <w:caps w:val="0"/>
          <w:color w:val="auto"/>
          <w:spacing w:val="0"/>
          <w:sz w:val="32"/>
          <w:szCs w:val="32"/>
          <w:shd w:val="clear" w:fill="FFFFFF"/>
          <w:lang w:eastAsia="zh-CN"/>
        </w:rPr>
      </w:pPr>
      <w:r>
        <w:rPr>
          <w:rFonts w:hint="eastAsia" w:ascii="仿宋" w:hAnsi="仿宋" w:eastAsia="仿宋" w:cs="仿宋"/>
          <w:b/>
          <w:bCs/>
          <w:i w:val="0"/>
          <w:caps w:val="0"/>
          <w:color w:val="auto"/>
          <w:spacing w:val="0"/>
          <w:sz w:val="32"/>
          <w:szCs w:val="32"/>
          <w:shd w:val="clear" w:fill="FFFFFF"/>
          <w:lang w:eastAsia="zh-CN"/>
        </w:rPr>
        <w:t>主动公开</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spacing w:before="0" w:beforeAutospacing="0" w:after="0" w:afterAutospacing="0" w:line="600" w:lineRule="exact"/>
        <w:ind w:leftChars="100" w:right="0" w:rightChars="0" w:firstLine="640" w:firstLineChars="200"/>
        <w:jc w:val="both"/>
        <w:textAlignment w:val="auto"/>
        <w:rPr>
          <w:rFonts w:hint="eastAsia" w:ascii="仿宋" w:hAnsi="仿宋" w:eastAsia="仿宋" w:cs="仿宋"/>
          <w:i w:val="0"/>
          <w:caps w:val="0"/>
          <w:color w:val="333333"/>
          <w:spacing w:val="0"/>
          <w:sz w:val="32"/>
          <w:szCs w:val="32"/>
          <w:shd w:val="clear" w:fill="FFFFFF"/>
          <w:lang w:val="en-US" w:eastAsia="zh-CN"/>
        </w:rPr>
      </w:pPr>
      <w:r>
        <w:rPr>
          <w:rFonts w:hint="eastAsia" w:ascii="仿宋" w:hAnsi="仿宋" w:eastAsia="仿宋" w:cs="仿宋"/>
          <w:kern w:val="2"/>
          <w:sz w:val="32"/>
          <w:szCs w:val="32"/>
        </w:rPr>
        <w:t>我局认真做好主动公开政府信息工作，积极回应群众咨询、投诉等各类诉求。202</w:t>
      </w:r>
      <w:r>
        <w:rPr>
          <w:rFonts w:hint="eastAsia" w:ascii="仿宋" w:hAnsi="仿宋" w:eastAsia="仿宋" w:cs="仿宋"/>
          <w:kern w:val="2"/>
          <w:sz w:val="32"/>
          <w:szCs w:val="32"/>
          <w:lang w:val="en-US" w:eastAsia="zh-CN"/>
        </w:rPr>
        <w:t>2</w:t>
      </w:r>
      <w:r>
        <w:rPr>
          <w:rFonts w:hint="eastAsia" w:ascii="仿宋" w:hAnsi="仿宋" w:eastAsia="仿宋" w:cs="仿宋"/>
          <w:kern w:val="2"/>
          <w:sz w:val="32"/>
          <w:szCs w:val="32"/>
        </w:rPr>
        <w:t>年，我局门户网站主动公开政务信息</w:t>
      </w:r>
      <w:r>
        <w:rPr>
          <w:rFonts w:hint="eastAsia" w:ascii="仿宋" w:hAnsi="仿宋" w:eastAsia="仿宋" w:cs="仿宋"/>
          <w:kern w:val="2"/>
          <w:sz w:val="32"/>
          <w:szCs w:val="32"/>
          <w:lang w:val="en-US" w:eastAsia="zh-CN"/>
        </w:rPr>
        <w:t>137</w:t>
      </w:r>
      <w:r>
        <w:rPr>
          <w:rFonts w:hint="eastAsia" w:ascii="仿宋" w:hAnsi="仿宋" w:eastAsia="仿宋" w:cs="仿宋"/>
          <w:kern w:val="2"/>
          <w:sz w:val="32"/>
          <w:szCs w:val="32"/>
        </w:rPr>
        <w:t>条</w:t>
      </w:r>
      <w:r>
        <w:rPr>
          <w:rFonts w:hint="eastAsia" w:ascii="仿宋" w:hAnsi="仿宋" w:eastAsia="仿宋" w:cs="仿宋"/>
          <w:kern w:val="2"/>
          <w:sz w:val="32"/>
          <w:szCs w:val="32"/>
          <w:lang w:eastAsia="zh-CN"/>
        </w:rPr>
        <w:t>，</w:t>
      </w:r>
      <w:r>
        <w:rPr>
          <w:rFonts w:hint="eastAsia" w:ascii="仿宋" w:hAnsi="仿宋" w:eastAsia="仿宋" w:cs="仿宋"/>
          <w:kern w:val="2"/>
          <w:sz w:val="32"/>
          <w:szCs w:val="32"/>
        </w:rPr>
        <w:t>涵盖</w:t>
      </w:r>
      <w:r>
        <w:rPr>
          <w:rFonts w:hint="eastAsia" w:ascii="仿宋" w:hAnsi="仿宋" w:eastAsia="仿宋" w:cs="仿宋"/>
          <w:kern w:val="2"/>
          <w:sz w:val="32"/>
          <w:szCs w:val="32"/>
          <w:lang w:val="en-US" w:eastAsia="zh-CN"/>
        </w:rPr>
        <w:t>政务公开、公共公示、</w:t>
      </w:r>
      <w:r>
        <w:rPr>
          <w:rFonts w:hint="eastAsia" w:ascii="仿宋" w:hAnsi="仿宋" w:eastAsia="仿宋" w:cs="仿宋"/>
          <w:kern w:val="2"/>
          <w:sz w:val="32"/>
          <w:szCs w:val="32"/>
        </w:rPr>
        <w:t>决策公开</w:t>
      </w:r>
      <w:r>
        <w:rPr>
          <w:rFonts w:hint="eastAsia" w:ascii="仿宋" w:hAnsi="仿宋" w:eastAsia="仿宋" w:cs="仿宋"/>
          <w:kern w:val="2"/>
          <w:sz w:val="32"/>
          <w:szCs w:val="32"/>
          <w:lang w:eastAsia="zh-CN"/>
        </w:rPr>
        <w:t>、</w:t>
      </w:r>
      <w:r>
        <w:rPr>
          <w:rFonts w:hint="eastAsia" w:ascii="仿宋" w:hAnsi="仿宋" w:eastAsia="仿宋" w:cs="仿宋"/>
          <w:kern w:val="2"/>
          <w:sz w:val="32"/>
          <w:szCs w:val="32"/>
          <w:lang w:val="en-US" w:eastAsia="zh-CN"/>
        </w:rPr>
        <w:t>管理和服务、执行和结果等。</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spacing w:before="0" w:beforeAutospacing="0" w:after="0" w:afterAutospacing="0" w:line="600" w:lineRule="exact"/>
        <w:ind w:left="0" w:leftChars="0" w:right="0" w:rightChars="0" w:firstLine="321" w:firstLineChars="100"/>
        <w:jc w:val="both"/>
        <w:textAlignment w:val="auto"/>
        <w:rPr>
          <w:rFonts w:hint="eastAsia" w:ascii="仿宋" w:hAnsi="仿宋" w:eastAsia="仿宋" w:cs="仿宋"/>
          <w:b/>
          <w:bCs/>
          <w:i w:val="0"/>
          <w:caps w:val="0"/>
          <w:color w:val="auto"/>
          <w:spacing w:val="0"/>
          <w:sz w:val="32"/>
          <w:szCs w:val="32"/>
          <w:shd w:val="clear" w:fill="FFFFFF"/>
          <w:lang w:eastAsia="zh-CN"/>
        </w:rPr>
      </w:pPr>
      <w:r>
        <w:rPr>
          <w:rFonts w:hint="eastAsia" w:ascii="仿宋" w:hAnsi="仿宋" w:eastAsia="仿宋" w:cs="仿宋"/>
          <w:b/>
          <w:bCs/>
          <w:i w:val="0"/>
          <w:caps w:val="0"/>
          <w:color w:val="auto"/>
          <w:spacing w:val="0"/>
          <w:sz w:val="32"/>
          <w:szCs w:val="32"/>
          <w:shd w:val="clear" w:fill="FFFFFF"/>
          <w:lang w:eastAsia="zh-CN"/>
        </w:rPr>
        <w:t>（二）依申请公开</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spacing w:before="0" w:beforeAutospacing="0" w:after="0" w:afterAutospacing="0" w:line="600" w:lineRule="exact"/>
        <w:ind w:left="0" w:right="0" w:rightChars="0" w:firstLine="640" w:firstLineChars="200"/>
        <w:jc w:val="both"/>
        <w:textAlignment w:val="auto"/>
        <w:rPr>
          <w:rFonts w:hint="eastAsia" w:ascii="仿宋" w:hAnsi="仿宋" w:eastAsia="仿宋" w:cs="仿宋"/>
          <w:i w:val="0"/>
          <w:caps w:val="0"/>
          <w:color w:val="auto"/>
          <w:spacing w:val="0"/>
          <w:sz w:val="32"/>
          <w:szCs w:val="32"/>
          <w:shd w:val="clear" w:fill="FFFFFF"/>
          <w:lang w:eastAsia="zh-CN"/>
        </w:rPr>
      </w:pPr>
      <w:r>
        <w:rPr>
          <w:rFonts w:hint="eastAsia" w:ascii="仿宋" w:hAnsi="仿宋" w:eastAsia="仿宋" w:cs="仿宋"/>
          <w:kern w:val="2"/>
          <w:sz w:val="32"/>
          <w:szCs w:val="32"/>
        </w:rPr>
        <w:t>20</w:t>
      </w:r>
      <w:r>
        <w:rPr>
          <w:rFonts w:hint="eastAsia" w:ascii="仿宋" w:hAnsi="仿宋" w:eastAsia="仿宋" w:cs="仿宋"/>
          <w:kern w:val="2"/>
          <w:sz w:val="32"/>
          <w:szCs w:val="32"/>
          <w:lang w:val="en-US" w:eastAsia="zh-CN"/>
        </w:rPr>
        <w:t>22</w:t>
      </w:r>
      <w:r>
        <w:rPr>
          <w:rFonts w:hint="eastAsia" w:ascii="仿宋" w:hAnsi="仿宋" w:eastAsia="仿宋" w:cs="仿宋"/>
          <w:kern w:val="2"/>
          <w:sz w:val="32"/>
          <w:szCs w:val="32"/>
        </w:rPr>
        <w:t>年结转政府信息公开申请0</w:t>
      </w:r>
      <w:r>
        <w:rPr>
          <w:rFonts w:hint="eastAsia" w:ascii="仿宋" w:hAnsi="仿宋" w:eastAsia="仿宋" w:cs="仿宋"/>
          <w:kern w:val="2"/>
          <w:sz w:val="32"/>
          <w:szCs w:val="32"/>
          <w:lang w:val="en-US" w:eastAsia="zh-CN"/>
        </w:rPr>
        <w:t>条。</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spacing w:before="0" w:beforeAutospacing="0" w:after="0" w:afterAutospacing="0" w:line="600" w:lineRule="exact"/>
        <w:ind w:left="0" w:leftChars="0" w:right="0" w:rightChars="0" w:firstLine="321" w:firstLineChars="100"/>
        <w:jc w:val="both"/>
        <w:textAlignment w:val="auto"/>
        <w:rPr>
          <w:rFonts w:hint="eastAsia" w:ascii="仿宋" w:hAnsi="仿宋" w:eastAsia="仿宋" w:cs="仿宋"/>
          <w:b/>
          <w:bCs/>
          <w:i w:val="0"/>
          <w:caps w:val="0"/>
          <w:color w:val="auto"/>
          <w:spacing w:val="0"/>
          <w:sz w:val="32"/>
          <w:szCs w:val="32"/>
          <w:shd w:val="clear" w:fill="FFFFFF"/>
          <w:lang w:eastAsia="zh-CN"/>
        </w:rPr>
      </w:pPr>
      <w:r>
        <w:rPr>
          <w:rFonts w:hint="eastAsia" w:ascii="仿宋" w:hAnsi="仿宋" w:eastAsia="仿宋" w:cs="仿宋"/>
          <w:b/>
          <w:bCs/>
          <w:i w:val="0"/>
          <w:caps w:val="0"/>
          <w:color w:val="auto"/>
          <w:spacing w:val="0"/>
          <w:sz w:val="32"/>
          <w:szCs w:val="32"/>
          <w:shd w:val="clear" w:fill="FFFFFF"/>
          <w:lang w:eastAsia="zh-CN"/>
        </w:rPr>
        <w:t>（三）政府信息管理</w:t>
      </w:r>
    </w:p>
    <w:p>
      <w:pPr>
        <w:pStyle w:val="4"/>
        <w:keepNext w:val="0"/>
        <w:keepLines w:val="0"/>
        <w:pageBreakBefore w:val="0"/>
        <w:widowControl/>
        <w:shd w:val="clear" w:color="auto" w:fill="FFFFFF"/>
        <w:kinsoku/>
        <w:wordWrap/>
        <w:overflowPunct/>
        <w:topLinePunct w:val="0"/>
        <w:autoSpaceDE/>
        <w:autoSpaceDN/>
        <w:bidi w:val="0"/>
        <w:adjustRightInd w:val="0"/>
        <w:snapToGrid/>
        <w:spacing w:beforeAutospacing="0" w:afterAutospacing="0" w:line="600" w:lineRule="exact"/>
        <w:ind w:left="0" w:firstLine="640" w:firstLineChars="200"/>
        <w:textAlignment w:val="auto"/>
        <w:rPr>
          <w:rFonts w:hint="eastAsia" w:ascii="黑体" w:hAnsi="黑体" w:eastAsia="黑体" w:cs="黑体"/>
          <w:b/>
          <w:bCs/>
          <w:i w:val="0"/>
          <w:iCs w:val="0"/>
          <w:caps w:val="0"/>
          <w:color w:val="333333"/>
          <w:spacing w:val="0"/>
          <w:sz w:val="32"/>
          <w:szCs w:val="32"/>
          <w:shd w:val="clear" w:fill="FFFFFF"/>
        </w:rPr>
      </w:pPr>
      <w:r>
        <w:rPr>
          <w:rFonts w:hint="eastAsia" w:ascii="仿宋" w:hAnsi="仿宋" w:eastAsia="仿宋" w:cs="仿宋"/>
          <w:kern w:val="2"/>
          <w:sz w:val="32"/>
          <w:szCs w:val="32"/>
        </w:rPr>
        <w:t>加强</w:t>
      </w:r>
      <w:r>
        <w:rPr>
          <w:rFonts w:hint="eastAsia" w:ascii="仿宋" w:hAnsi="仿宋" w:eastAsia="仿宋" w:cs="仿宋"/>
          <w:kern w:val="2"/>
          <w:sz w:val="32"/>
          <w:szCs w:val="32"/>
          <w:lang w:val="en-US" w:eastAsia="zh-CN"/>
        </w:rPr>
        <w:t>了</w:t>
      </w:r>
      <w:r>
        <w:rPr>
          <w:rFonts w:hint="eastAsia" w:ascii="仿宋" w:hAnsi="仿宋" w:eastAsia="仿宋" w:cs="仿宋"/>
          <w:kern w:val="2"/>
          <w:sz w:val="32"/>
          <w:szCs w:val="32"/>
        </w:rPr>
        <w:t>政务公开标准化规范化管理，制定相关规章制度，切实做好数字化管理，与大数据平台进行联接，做到数据共建共享。信息发布坚持“一事一审”原则，凡发布信息均需填写信息发布报备表，报相关</w:t>
      </w:r>
      <w:r>
        <w:rPr>
          <w:rFonts w:hint="eastAsia" w:ascii="仿宋" w:hAnsi="仿宋" w:eastAsia="仿宋" w:cs="仿宋"/>
          <w:kern w:val="2"/>
          <w:sz w:val="32"/>
          <w:szCs w:val="32"/>
          <w:lang w:val="en-US" w:eastAsia="zh-CN"/>
        </w:rPr>
        <w:t>股</w:t>
      </w:r>
      <w:r>
        <w:rPr>
          <w:rFonts w:hint="eastAsia" w:ascii="仿宋" w:hAnsi="仿宋" w:eastAsia="仿宋" w:cs="仿宋"/>
          <w:kern w:val="2"/>
          <w:sz w:val="32"/>
          <w:szCs w:val="32"/>
        </w:rPr>
        <w:t>室负责人、分管领导及主要领导三级审批后，方可发布。建立了详尽的台账，使发布的每条信息均做到有案可查，严格确保信息发布“先审查、后公开”。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both"/>
        <w:rPr>
          <w:rFonts w:hint="eastAsia" w:ascii="黑体" w:hAnsi="黑体" w:eastAsia="黑体" w:cs="黑体"/>
          <w:i w:val="0"/>
          <w:iCs w:val="0"/>
          <w:caps w:val="0"/>
          <w:color w:val="333333"/>
          <w:spacing w:val="0"/>
          <w:sz w:val="32"/>
          <w:szCs w:val="32"/>
        </w:rPr>
      </w:pPr>
      <w:r>
        <w:rPr>
          <w:rFonts w:hint="eastAsia" w:ascii="黑体" w:hAnsi="黑体" w:eastAsia="黑体" w:cs="黑体"/>
          <w:b/>
          <w:bCs/>
          <w:i w:val="0"/>
          <w:iCs w:val="0"/>
          <w:caps w:val="0"/>
          <w:color w:val="333333"/>
          <w:spacing w:val="0"/>
          <w:sz w:val="32"/>
          <w:szCs w:val="32"/>
          <w:shd w:val="clear" w:fill="FFFFFF"/>
        </w:rPr>
        <w:t>二、主动公开政府信息情况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p>
    <w:tbl>
      <w:tblPr>
        <w:tblStyle w:val="5"/>
        <w:tblW w:w="974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2435"/>
        <w:gridCol w:w="2435"/>
        <w:gridCol w:w="2435"/>
        <w:gridCol w:w="24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w:t>
            </w:r>
            <w:r>
              <w:rPr>
                <w:rFonts w:hint="eastAsia" w:ascii="宋体" w:hAnsi="宋体" w:eastAsia="宋体" w:cs="宋体"/>
                <w:kern w:val="0"/>
                <w:sz w:val="20"/>
                <w:szCs w:val="20"/>
                <w:lang w:val="en-US" w:eastAsia="zh-CN" w:bidi="ar"/>
              </w:rPr>
              <w:t>制发件数</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本年废止件数</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现行有效件</w:t>
            </w:r>
            <w:r>
              <w:rPr>
                <w:rFonts w:hint="eastAsia" w:ascii="宋体" w:hAnsi="宋体" w:eastAsia="宋体" w:cs="宋体"/>
                <w:kern w:val="0"/>
                <w:sz w:val="20"/>
                <w:szCs w:val="20"/>
                <w:lang w:val="en-US" w:eastAsia="zh-CN" w:bidi="ar"/>
              </w:rPr>
              <w:t>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规章</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行政规范性文件</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行政许可</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eastAsiaTheme="minorEastAsia"/>
                <w:lang w:val="en-US" w:eastAsia="zh-CN"/>
              </w:rPr>
            </w:pPr>
            <w:r>
              <w:rPr>
                <w:rFonts w:hint="eastAsia"/>
                <w:lang w:val="en-US" w:eastAsia="zh-CN"/>
              </w:rPr>
              <w:t>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行政处罚</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行政强制</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本年收费金额（单位：万元）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行政事业性收费</w:t>
            </w:r>
          </w:p>
        </w:tc>
        <w:tc>
          <w:tcPr>
            <w:tcW w:w="7305"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jc w:val="center"/>
              <w:rPr>
                <w:rFonts w:hint="default" w:ascii="宋体" w:eastAsiaTheme="minorEastAsia"/>
                <w:sz w:val="24"/>
                <w:szCs w:val="24"/>
                <w:lang w:val="en-US" w:eastAsia="zh-CN"/>
              </w:rPr>
            </w:pPr>
            <w:r>
              <w:rPr>
                <w:rFonts w:hint="eastAsia" w:ascii="宋体"/>
                <w:sz w:val="24"/>
                <w:szCs w:val="24"/>
                <w:lang w:val="en-US" w:eastAsia="zh-CN"/>
              </w:rPr>
              <w:t>250.5</w:t>
            </w:r>
          </w:p>
        </w:tc>
      </w:tr>
    </w:tbl>
    <w:p>
      <w:pPr>
        <w:keepNext w:val="0"/>
        <w:keepLines w:val="0"/>
        <w:widowControl/>
        <w:suppressLineNumbers w:val="0"/>
        <w:jc w:val="left"/>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both"/>
        <w:rPr>
          <w:rFonts w:hint="eastAsia" w:ascii="黑体" w:hAnsi="黑体" w:eastAsia="黑体" w:cs="黑体"/>
          <w:i w:val="0"/>
          <w:iCs w:val="0"/>
          <w:caps w:val="0"/>
          <w:color w:val="333333"/>
          <w:spacing w:val="0"/>
          <w:sz w:val="32"/>
          <w:szCs w:val="32"/>
        </w:rPr>
      </w:pPr>
      <w:r>
        <w:rPr>
          <w:rFonts w:hint="eastAsia" w:ascii="黑体" w:hAnsi="黑体" w:eastAsia="黑体" w:cs="黑体"/>
          <w:b/>
          <w:bCs/>
          <w:i w:val="0"/>
          <w:iCs w:val="0"/>
          <w:caps w:val="0"/>
          <w:color w:val="333333"/>
          <w:spacing w:val="0"/>
          <w:sz w:val="32"/>
          <w:szCs w:val="32"/>
          <w:shd w:val="clear" w:fill="FFFFFF"/>
        </w:rPr>
        <w:t>三、收到和处理政府信息公开申请情况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p>
    <w:tbl>
      <w:tblPr>
        <w:tblStyle w:val="5"/>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768"/>
        <w:gridCol w:w="943"/>
        <w:gridCol w:w="3220"/>
        <w:gridCol w:w="688"/>
        <w:gridCol w:w="688"/>
        <w:gridCol w:w="688"/>
        <w:gridCol w:w="688"/>
        <w:gridCol w:w="688"/>
        <w:gridCol w:w="688"/>
        <w:gridCol w:w="689"/>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931" w:type="dxa"/>
            <w:gridSpan w:val="3"/>
            <w:vMerge w:val="restart"/>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楷体" w:hAnsi="楷体" w:eastAsia="楷体" w:cs="楷体"/>
                <w:kern w:val="0"/>
                <w:sz w:val="20"/>
                <w:szCs w:val="20"/>
                <w:lang w:val="en-US" w:eastAsia="zh-CN" w:bidi="ar"/>
              </w:rPr>
              <w:t>（本列数据的勾稽关系为：第一项加第二项之和，等于第三项加第四项之和）</w:t>
            </w:r>
          </w:p>
        </w:tc>
        <w:tc>
          <w:tcPr>
            <w:tcW w:w="4817" w:type="dxa"/>
            <w:gridSpan w:val="7"/>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931" w:type="dxa"/>
            <w:gridSpan w:val="3"/>
            <w:vMerge w:val="continue"/>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88" w:type="dxa"/>
            <w:vMerge w:val="restar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自然人</w:t>
            </w:r>
          </w:p>
        </w:tc>
        <w:tc>
          <w:tcPr>
            <w:tcW w:w="3440" w:type="dxa"/>
            <w:gridSpan w:val="5"/>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法人或其他组织</w:t>
            </w:r>
          </w:p>
        </w:tc>
        <w:tc>
          <w:tcPr>
            <w:tcW w:w="689" w:type="dxa"/>
            <w:vMerge w:val="restart"/>
            <w:tcBorders>
              <w:top w:val="single"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931" w:type="dxa"/>
            <w:gridSpan w:val="3"/>
            <w:vMerge w:val="continue"/>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88" w:type="dxa"/>
            <w:vMerge w:val="continue"/>
            <w:tcBorders>
              <w:top w:val="nil"/>
              <w:left w:val="nil"/>
              <w:bottom w:val="single"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商业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企业</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科研</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机构</w:t>
            </w:r>
          </w:p>
        </w:tc>
        <w:tc>
          <w:tcPr>
            <w:tcW w:w="688"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社会公益组织</w:t>
            </w:r>
          </w:p>
        </w:tc>
        <w:tc>
          <w:tcPr>
            <w:tcW w:w="688"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法律服务机构</w:t>
            </w:r>
          </w:p>
        </w:tc>
        <w:tc>
          <w:tcPr>
            <w:tcW w:w="688"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其他</w:t>
            </w:r>
          </w:p>
        </w:tc>
        <w:tc>
          <w:tcPr>
            <w:tcW w:w="689" w:type="dxa"/>
            <w:vMerge w:val="continue"/>
            <w:tcBorders>
              <w:top w:val="single" w:color="auto" w:sz="8" w:space="0"/>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931"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一、本年新收政府信息公开申请数量</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931"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二、上年结转政府信息公开申请数量</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8" w:type="dxa"/>
            <w:vMerge w:val="restart"/>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三、本年度办理结果</w:t>
            </w:r>
          </w:p>
        </w:tc>
        <w:tc>
          <w:tcPr>
            <w:tcW w:w="4163"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9" w:type="dxa"/>
            <w:tcBorders>
              <w:top w:val="single" w:color="auto" w:sz="8" w:space="0"/>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4163"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Calibri" w:hAnsi="Calibri" w:cs="Calibri"/>
                <w:kern w:val="0"/>
                <w:sz w:val="20"/>
                <w:szCs w:val="20"/>
                <w:lang w:val="en-US" w:eastAsia="zh-CN" w:bidi="ar"/>
              </w:rPr>
            </w:pPr>
            <w:r>
              <w:rPr>
                <w:rFonts w:hint="eastAsia" w:ascii="Calibri" w:hAnsi="Calibri" w:cs="Calibri"/>
                <w:kern w:val="0"/>
                <w:sz w:val="20"/>
                <w:szCs w:val="20"/>
                <w:lang w:val="en-US" w:eastAsia="zh-CN" w:bidi="ar"/>
              </w:rPr>
              <w:t>0</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Calibri" w:hAnsi="Calibri" w:cs="Calibri"/>
                <w:kern w:val="0"/>
                <w:sz w:val="20"/>
                <w:szCs w:val="20"/>
                <w:lang w:val="en-US" w:eastAsia="zh-CN" w:bidi="ar"/>
              </w:rPr>
            </w:pPr>
            <w:r>
              <w:rPr>
                <w:rFonts w:hint="eastAsia" w:ascii="Calibri" w:hAnsi="Calibri" w:cs="Calibri"/>
                <w:kern w:val="0"/>
                <w:sz w:val="20"/>
                <w:szCs w:val="20"/>
                <w:lang w:val="en-US" w:eastAsia="zh-CN" w:bidi="ar"/>
              </w:rPr>
              <w:t>0</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Calibri" w:hAnsi="Calibri" w:cs="Calibri"/>
                <w:kern w:val="0"/>
                <w:sz w:val="20"/>
                <w:szCs w:val="20"/>
                <w:lang w:val="en-US" w:eastAsia="zh-CN" w:bidi="ar"/>
              </w:rPr>
            </w:pPr>
            <w:r>
              <w:rPr>
                <w:rFonts w:hint="eastAsia" w:ascii="Calibri" w:hAnsi="Calibri" w:cs="Calibri"/>
                <w:kern w:val="0"/>
                <w:sz w:val="20"/>
                <w:szCs w:val="20"/>
                <w:lang w:val="en-US" w:eastAsia="zh-CN" w:bidi="ar"/>
              </w:rPr>
              <w:t>0</w:t>
            </w:r>
          </w:p>
        </w:tc>
        <w:tc>
          <w:tcPr>
            <w:tcW w:w="322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c>
          <w:tcPr>
            <w:tcW w:w="689" w:type="dxa"/>
            <w:tcBorders>
              <w:top w:val="single" w:color="auto" w:sz="8" w:space="0"/>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93" w:hRule="atLeast"/>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4.保护第三方合法权益</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tabs>
                <w:tab w:val="left" w:pos="207"/>
              </w:tabs>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5.属于三类内部事务信息</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6.属于四类过程性信息</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7.属于行政执法案卷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8.属于行政查询事项</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（四）无法提供</w:t>
            </w:r>
          </w:p>
        </w:tc>
        <w:tc>
          <w:tcPr>
            <w:tcW w:w="322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1.本机关不掌握相关政府信息</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2.没有现成信息需要另行制作</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3.补正后申请内容仍不明确</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（五）不予处理</w:t>
            </w:r>
          </w:p>
        </w:tc>
        <w:tc>
          <w:tcPr>
            <w:tcW w:w="322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1.信访举报投诉类申请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2.重复申请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3.要求提供公开出版物</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4.无正当理由大量反复申请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779" w:hRule="atLeast"/>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20"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kern w:val="0"/>
                <w:sz w:val="20"/>
                <w:szCs w:val="20"/>
                <w:lang w:val="en-US" w:eastAsia="zh-CN" w:bidi="ar"/>
              </w:rPr>
              <w:t>5.要求行政机关确认或重新出具已获取信息</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9" w:type="dxa"/>
            <w:tcBorders>
              <w:top w:val="nil"/>
              <w:left w:val="nil"/>
              <w:bottom w:val="outset"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restart"/>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（六）其他处理</w:t>
            </w:r>
          </w:p>
        </w:tc>
        <w:tc>
          <w:tcPr>
            <w:tcW w:w="322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kern w:val="0"/>
                <w:sz w:val="20"/>
                <w:szCs w:val="20"/>
                <w:lang w:val="en-US" w:eastAsia="zh-CN" w:bidi="ar"/>
              </w:rPr>
              <w:t>1.申请人无正当理由逾期不补正、行政机关不再处理其政府信息公开申请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continue"/>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kern w:val="0"/>
                <w:sz w:val="20"/>
                <w:szCs w:val="20"/>
                <w:lang w:val="en-US" w:eastAsia="zh-CN" w:bidi="ar"/>
              </w:rPr>
              <w:t>2.申请人逾期未按收费通知要求缴纳费用、行政机关不再处理其政府信息公开申请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continue"/>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3.其他</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4163"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（七）总计</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931"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四、结转下年度继续办理</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jc w:val="center"/>
              <w:rPr>
                <w:rFonts w:hint="eastAsia" w:ascii="宋体"/>
                <w:sz w:val="24"/>
                <w:szCs w:val="24"/>
              </w:rPr>
            </w:pPr>
            <w:r>
              <w:rPr>
                <w:rFonts w:hint="eastAsia" w:ascii="Calibri" w:hAnsi="Calibri" w:cs="Calibri"/>
                <w:kern w:val="0"/>
                <w:sz w:val="20"/>
                <w:szCs w:val="20"/>
                <w:lang w:val="en-US" w:eastAsia="zh-CN" w:bidi="ar"/>
              </w:rPr>
              <w:t>0</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333333"/>
          <w:spacing w:val="0"/>
          <w:sz w:val="24"/>
          <w:szCs w:val="24"/>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bCs/>
          <w:i w:val="0"/>
          <w:iCs w:val="0"/>
          <w:caps w:val="0"/>
          <w:color w:val="333333"/>
          <w:spacing w:val="0"/>
          <w:sz w:val="24"/>
          <w:szCs w:val="24"/>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bCs/>
          <w:i w:val="0"/>
          <w:iCs w:val="0"/>
          <w:caps w:val="0"/>
          <w:color w:val="333333"/>
          <w:spacing w:val="0"/>
          <w:sz w:val="24"/>
          <w:szCs w:val="24"/>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bCs/>
          <w:i w:val="0"/>
          <w:iCs w:val="0"/>
          <w:caps w:val="0"/>
          <w:color w:val="333333"/>
          <w:spacing w:val="0"/>
          <w:sz w:val="24"/>
          <w:szCs w:val="24"/>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both"/>
        <w:rPr>
          <w:rFonts w:hint="eastAsia" w:ascii="黑体" w:hAnsi="黑体" w:eastAsia="黑体" w:cs="黑体"/>
          <w:i w:val="0"/>
          <w:iCs w:val="0"/>
          <w:caps w:val="0"/>
          <w:color w:val="333333"/>
          <w:spacing w:val="0"/>
          <w:sz w:val="32"/>
          <w:szCs w:val="32"/>
        </w:rPr>
      </w:pPr>
      <w:r>
        <w:rPr>
          <w:rFonts w:hint="eastAsia" w:ascii="黑体" w:hAnsi="黑体" w:eastAsia="黑体" w:cs="黑体"/>
          <w:b/>
          <w:bCs/>
          <w:i w:val="0"/>
          <w:iCs w:val="0"/>
          <w:caps w:val="0"/>
          <w:color w:val="333333"/>
          <w:spacing w:val="0"/>
          <w:sz w:val="32"/>
          <w:szCs w:val="32"/>
          <w:shd w:val="clear" w:fill="FFFFFF"/>
        </w:rPr>
        <w:t>四、政府信息公开行政复议、行政诉讼情况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333333"/>
          <w:spacing w:val="0"/>
          <w:sz w:val="24"/>
          <w:szCs w:val="24"/>
        </w:rPr>
      </w:pPr>
    </w:p>
    <w:tbl>
      <w:tblPr>
        <w:tblStyle w:val="5"/>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649"/>
        <w:gridCol w:w="649"/>
        <w:gridCol w:w="649"/>
        <w:gridCol w:w="649"/>
        <w:gridCol w:w="649"/>
        <w:gridCol w:w="649"/>
        <w:gridCol w:w="649"/>
        <w:gridCol w:w="650"/>
        <w:gridCol w:w="650"/>
        <w:gridCol w:w="650"/>
        <w:gridCol w:w="651"/>
        <w:gridCol w:w="651"/>
        <w:gridCol w:w="651"/>
        <w:gridCol w:w="651"/>
        <w:gridCol w:w="65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3210"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行政复议</w:t>
            </w:r>
          </w:p>
        </w:tc>
        <w:tc>
          <w:tcPr>
            <w:tcW w:w="6428" w:type="dxa"/>
            <w:gridSpan w:val="10"/>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642"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结果维持</w:t>
            </w:r>
          </w:p>
        </w:tc>
        <w:tc>
          <w:tcPr>
            <w:tcW w:w="642"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42"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其他</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结果</w:t>
            </w:r>
          </w:p>
        </w:tc>
        <w:tc>
          <w:tcPr>
            <w:tcW w:w="642"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42"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总计</w:t>
            </w:r>
          </w:p>
        </w:tc>
        <w:tc>
          <w:tcPr>
            <w:tcW w:w="3213"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未经复议直接起诉</w:t>
            </w:r>
          </w:p>
        </w:tc>
        <w:tc>
          <w:tcPr>
            <w:tcW w:w="3215"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642"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42"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42"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42"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42"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维持</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其他</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结果</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总计</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维持</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其他</w:t>
            </w:r>
            <w:r>
              <w:rPr>
                <w:rFonts w:hint="eastAsia" w:ascii="宋体" w:hAnsi="宋体" w:eastAsia="宋体" w:cs="宋体"/>
                <w:color w:val="000000"/>
                <w:kern w:val="0"/>
                <w:sz w:val="20"/>
                <w:szCs w:val="20"/>
                <w:lang w:val="en-US" w:eastAsia="zh-CN" w:bidi="ar"/>
              </w:rPr>
              <w:br w:type="textWrapping"/>
            </w:r>
            <w:r>
              <w:rPr>
                <w:rFonts w:hint="eastAsia" w:ascii="宋体" w:hAnsi="宋体" w:eastAsia="宋体" w:cs="宋体"/>
                <w:color w:val="000000"/>
                <w:kern w:val="0"/>
                <w:sz w:val="20"/>
                <w:szCs w:val="20"/>
                <w:lang w:val="en-US" w:eastAsia="zh-CN" w:bidi="ar"/>
              </w:rPr>
              <w:t>结果</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672" w:hRule="atLeast"/>
          <w:jc w:val="center"/>
        </w:trPr>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eastAsiaTheme="minorEastAsia"/>
                <w:lang w:val="en-US" w:eastAsia="zh-CN"/>
              </w:rPr>
            </w:pPr>
            <w:r>
              <w:rPr>
                <w:rFonts w:hint="eastAsia"/>
                <w:lang w:val="en-US" w:eastAsia="zh-CN"/>
              </w:rPr>
              <w:t>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lang w:val="en-US" w:eastAsia="zh-CN"/>
              </w:rPr>
              <w:t>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lang w:val="en-US" w:eastAsia="zh-CN"/>
              </w:rPr>
              <w:t>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lang w:val="en-US" w:eastAsia="zh-CN"/>
              </w:rPr>
              <w:t>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lang w:val="en-US" w:eastAsia="zh-CN"/>
              </w:rPr>
              <w:t>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lang w:val="en-US" w:eastAsia="zh-CN"/>
              </w:rPr>
              <w:t>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lang w:val="en-US" w:eastAsia="zh-CN"/>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lang w:val="en-US" w:eastAsia="zh-CN"/>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lang w:val="en-US" w:eastAsia="zh-CN"/>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lang w:val="en-US" w:eastAsia="zh-CN"/>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lang w:val="en-US" w:eastAsia="zh-CN"/>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lang w:val="en-US" w:eastAsia="zh-CN"/>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lang w:val="en-US" w:eastAsia="zh-CN"/>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lang w:val="en-US" w:eastAsia="zh-CN"/>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4"/>
                <w:szCs w:val="24"/>
              </w:rPr>
            </w:pPr>
            <w:r>
              <w:rPr>
                <w:rFonts w:hint="eastAsia"/>
                <w:lang w:val="en-US" w:eastAsia="zh-CN"/>
              </w:rPr>
              <w:t>0</w:t>
            </w:r>
          </w:p>
        </w:tc>
      </w:tr>
    </w:tbl>
    <w:p>
      <w:pPr>
        <w:keepNext w:val="0"/>
        <w:keepLines w:val="0"/>
        <w:widowControl/>
        <w:suppressLineNumbers w:val="0"/>
        <w:jc w:val="left"/>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both"/>
        <w:rPr>
          <w:rFonts w:hint="eastAsia" w:ascii="黑体" w:hAnsi="黑体" w:eastAsia="黑体" w:cs="黑体"/>
          <w:i w:val="0"/>
          <w:iCs w:val="0"/>
          <w:caps w:val="0"/>
          <w:color w:val="333333"/>
          <w:spacing w:val="0"/>
          <w:sz w:val="32"/>
          <w:szCs w:val="32"/>
        </w:rPr>
      </w:pPr>
      <w:r>
        <w:rPr>
          <w:rFonts w:hint="eastAsia" w:ascii="黑体" w:hAnsi="黑体" w:eastAsia="黑体" w:cs="黑体"/>
          <w:b/>
          <w:bCs/>
          <w:i w:val="0"/>
          <w:iCs w:val="0"/>
          <w:caps w:val="0"/>
          <w:color w:val="333333"/>
          <w:spacing w:val="0"/>
          <w:sz w:val="32"/>
          <w:szCs w:val="32"/>
          <w:shd w:val="clear" w:fill="FFFFFF"/>
        </w:rPr>
        <w:t>五、存在的主要问题及改进情况</w:t>
      </w:r>
    </w:p>
    <w:p>
      <w:pPr>
        <w:keepNext w:val="0"/>
        <w:keepLines w:val="0"/>
        <w:pageBreakBefore w:val="0"/>
        <w:widowControl/>
        <w:shd w:val="clear" w:color="auto" w:fill="FFFFFF"/>
        <w:kinsoku/>
        <w:wordWrap w:val="0"/>
        <w:overflowPunct/>
        <w:topLinePunct w:val="0"/>
        <w:autoSpaceDE/>
        <w:autoSpaceDN/>
        <w:bidi w:val="0"/>
        <w:adjustRightInd w:val="0"/>
        <w:snapToGrid/>
        <w:spacing w:line="600" w:lineRule="exact"/>
        <w:ind w:left="0"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202</w:t>
      </w:r>
      <w:r>
        <w:rPr>
          <w:rFonts w:hint="eastAsia" w:ascii="仿宋" w:hAnsi="仿宋" w:eastAsia="仿宋" w:cs="仿宋"/>
          <w:sz w:val="32"/>
          <w:szCs w:val="32"/>
          <w:lang w:val="en-US" w:eastAsia="zh-CN"/>
        </w:rPr>
        <w:t>2</w:t>
      </w:r>
      <w:r>
        <w:rPr>
          <w:rFonts w:hint="eastAsia" w:ascii="仿宋" w:hAnsi="仿宋" w:eastAsia="仿宋" w:cs="仿宋"/>
          <w:sz w:val="32"/>
          <w:szCs w:val="32"/>
        </w:rPr>
        <w:t>年，我局信息公开工作存在问题：政务公开信息</w:t>
      </w:r>
      <w:r>
        <w:rPr>
          <w:rFonts w:hint="eastAsia" w:ascii="仿宋" w:hAnsi="仿宋" w:eastAsia="仿宋" w:cs="仿宋"/>
          <w:sz w:val="32"/>
          <w:szCs w:val="32"/>
          <w:lang w:val="en-US" w:eastAsia="zh-CN"/>
        </w:rPr>
        <w:t>比较单一，</w:t>
      </w:r>
      <w:r>
        <w:rPr>
          <w:rFonts w:hint="eastAsia" w:ascii="仿宋" w:hAnsi="仿宋" w:eastAsia="仿宋" w:cs="仿宋"/>
          <w:sz w:val="32"/>
          <w:szCs w:val="32"/>
        </w:rPr>
        <w:t>解读、回应、互动</w:t>
      </w:r>
      <w:r>
        <w:rPr>
          <w:rFonts w:hint="eastAsia" w:ascii="仿宋" w:hAnsi="仿宋" w:eastAsia="仿宋" w:cs="仿宋"/>
          <w:sz w:val="32"/>
          <w:szCs w:val="32"/>
          <w:lang w:val="en-US" w:eastAsia="zh-CN"/>
        </w:rPr>
        <w:t>较少</w:t>
      </w:r>
      <w:r>
        <w:rPr>
          <w:rFonts w:hint="eastAsia" w:ascii="仿宋" w:hAnsi="仿宋" w:eastAsia="仿宋" w:cs="仿宋"/>
          <w:sz w:val="32"/>
          <w:szCs w:val="32"/>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both"/>
        <w:rPr>
          <w:rFonts w:hint="eastAsia" w:ascii="宋体" w:hAnsi="宋体" w:eastAsia="宋体" w:cs="宋体"/>
          <w:i w:val="0"/>
          <w:iCs w:val="0"/>
          <w:caps w:val="0"/>
          <w:color w:val="333333"/>
          <w:spacing w:val="0"/>
          <w:sz w:val="24"/>
          <w:szCs w:val="24"/>
        </w:rPr>
      </w:pPr>
      <w:r>
        <w:rPr>
          <w:rFonts w:hint="eastAsia" w:ascii="仿宋" w:hAnsi="仿宋" w:eastAsia="仿宋" w:cs="仿宋"/>
          <w:sz w:val="32"/>
          <w:szCs w:val="32"/>
          <w:lang w:val="en-US" w:eastAsia="zh-CN"/>
        </w:rPr>
        <w:t>改进措施：</w:t>
      </w:r>
      <w:r>
        <w:rPr>
          <w:rFonts w:hint="eastAsia" w:ascii="仿宋" w:hAnsi="仿宋" w:eastAsia="仿宋" w:cs="仿宋"/>
          <w:sz w:val="32"/>
          <w:szCs w:val="32"/>
        </w:rPr>
        <w:t>一是</w:t>
      </w:r>
      <w:r>
        <w:rPr>
          <w:rFonts w:hint="eastAsia" w:ascii="仿宋" w:hAnsi="仿宋" w:eastAsia="仿宋" w:cs="仿宋"/>
          <w:sz w:val="32"/>
          <w:szCs w:val="32"/>
          <w:lang w:val="en-US" w:eastAsia="zh-CN"/>
        </w:rPr>
        <w:t>加强</w:t>
      </w:r>
      <w:r>
        <w:rPr>
          <w:rFonts w:hint="eastAsia" w:ascii="仿宋" w:hAnsi="仿宋" w:eastAsia="仿宋" w:cs="仿宋"/>
          <w:sz w:val="32"/>
          <w:szCs w:val="32"/>
        </w:rPr>
        <w:t>完善政务公开</w:t>
      </w:r>
      <w:r>
        <w:rPr>
          <w:rFonts w:hint="eastAsia" w:ascii="仿宋" w:hAnsi="仿宋" w:eastAsia="仿宋" w:cs="仿宋"/>
          <w:sz w:val="32"/>
          <w:szCs w:val="32"/>
          <w:lang w:val="en-US" w:eastAsia="zh-CN"/>
        </w:rPr>
        <w:t>信息</w:t>
      </w:r>
      <w:r>
        <w:rPr>
          <w:rFonts w:hint="eastAsia" w:ascii="仿宋" w:hAnsi="仿宋" w:eastAsia="仿宋" w:cs="仿宋"/>
          <w:sz w:val="32"/>
          <w:szCs w:val="32"/>
        </w:rPr>
        <w:t>。加大</w:t>
      </w:r>
      <w:r>
        <w:rPr>
          <w:rFonts w:hint="eastAsia" w:ascii="仿宋" w:hAnsi="仿宋" w:eastAsia="仿宋" w:cs="仿宋"/>
          <w:sz w:val="32"/>
          <w:szCs w:val="32"/>
          <w:lang w:val="en-US" w:eastAsia="zh-CN"/>
        </w:rPr>
        <w:t>公开</w:t>
      </w:r>
      <w:r>
        <w:rPr>
          <w:rFonts w:hint="eastAsia" w:ascii="仿宋" w:hAnsi="仿宋" w:eastAsia="仿宋" w:cs="仿宋"/>
          <w:sz w:val="32"/>
          <w:szCs w:val="32"/>
        </w:rPr>
        <w:t>对社会各界关注度高、涉及群众切身利益、</w:t>
      </w:r>
      <w:r>
        <w:rPr>
          <w:rFonts w:hint="eastAsia" w:ascii="仿宋" w:hAnsi="仿宋" w:eastAsia="仿宋" w:cs="仿宋"/>
          <w:sz w:val="32"/>
          <w:szCs w:val="32"/>
          <w:lang w:val="en-US" w:eastAsia="zh-CN"/>
        </w:rPr>
        <w:t>水利</w:t>
      </w:r>
      <w:r>
        <w:rPr>
          <w:rFonts w:hint="eastAsia" w:ascii="仿宋" w:hAnsi="仿宋" w:eastAsia="仿宋" w:cs="仿宋"/>
          <w:sz w:val="32"/>
          <w:szCs w:val="32"/>
        </w:rPr>
        <w:t>工作热点和亮点、创新</w:t>
      </w:r>
      <w:r>
        <w:rPr>
          <w:rFonts w:hint="eastAsia" w:ascii="仿宋" w:hAnsi="仿宋" w:eastAsia="仿宋" w:cs="仿宋"/>
          <w:sz w:val="32"/>
          <w:szCs w:val="32"/>
          <w:lang w:val="en-US" w:eastAsia="zh-CN"/>
        </w:rPr>
        <w:t>等方面信息内容；加强</w:t>
      </w:r>
      <w:r>
        <w:rPr>
          <w:rFonts w:hint="eastAsia" w:ascii="仿宋" w:hAnsi="仿宋" w:eastAsia="仿宋" w:cs="仿宋"/>
          <w:sz w:val="32"/>
          <w:szCs w:val="32"/>
        </w:rPr>
        <w:t>政务</w:t>
      </w:r>
      <w:r>
        <w:rPr>
          <w:rFonts w:hint="eastAsia" w:ascii="仿宋" w:hAnsi="仿宋" w:eastAsia="仿宋" w:cs="仿宋"/>
          <w:sz w:val="32"/>
          <w:szCs w:val="32"/>
          <w:lang w:val="en-US" w:eastAsia="zh-CN"/>
        </w:rPr>
        <w:t>信息</w:t>
      </w:r>
      <w:r>
        <w:rPr>
          <w:rFonts w:hint="eastAsia" w:ascii="仿宋" w:hAnsi="仿宋" w:eastAsia="仿宋" w:cs="仿宋"/>
          <w:sz w:val="32"/>
          <w:szCs w:val="32"/>
        </w:rPr>
        <w:t>解读、回应、互动</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 xml:space="preserve">     </w:t>
      </w:r>
      <w:r>
        <w:rPr>
          <w:rFonts w:hint="eastAsia" w:ascii="黑体" w:hAnsi="黑体" w:eastAsia="黑体" w:cs="黑体"/>
          <w:b/>
          <w:bCs/>
          <w:i w:val="0"/>
          <w:iCs w:val="0"/>
          <w:caps w:val="0"/>
          <w:color w:val="333333"/>
          <w:spacing w:val="0"/>
          <w:sz w:val="32"/>
          <w:szCs w:val="32"/>
          <w:shd w:val="clear" w:fill="FFFFFF"/>
        </w:rPr>
        <w:t>六、其他需要报告的事项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eastAsia" w:ascii="仿宋" w:hAnsi="仿宋" w:eastAsia="仿宋" w:cs="仿宋"/>
          <w:sz w:val="32"/>
          <w:szCs w:val="32"/>
          <w:lang w:val="en-US" w:eastAsia="zh-CN"/>
        </w:rPr>
      </w:pPr>
      <w:r>
        <w:rPr>
          <w:rFonts w:ascii="仿宋_GB2312" w:hAnsi="微软雅黑" w:eastAsia="仿宋_GB2312" w:cs="仿宋_GB2312"/>
          <w:i w:val="0"/>
          <w:iCs w:val="0"/>
          <w:caps w:val="0"/>
          <w:color w:val="333333"/>
          <w:spacing w:val="0"/>
          <w:kern w:val="0"/>
          <w:sz w:val="32"/>
          <w:szCs w:val="32"/>
          <w:shd w:val="clear" w:fill="FFFFFF"/>
          <w:lang w:val="en-US" w:eastAsia="zh-CN" w:bidi="ar"/>
        </w:rPr>
        <w:t>2022年，我局无</w:t>
      </w:r>
      <w:r>
        <w:rPr>
          <w:rFonts w:hint="eastAsia" w:ascii="仿宋_GB2312" w:hAnsi="微软雅黑" w:eastAsia="仿宋_GB2312" w:cs="仿宋_GB2312"/>
          <w:i w:val="0"/>
          <w:iCs w:val="0"/>
          <w:caps w:val="0"/>
          <w:color w:val="333333"/>
          <w:spacing w:val="0"/>
          <w:kern w:val="0"/>
          <w:sz w:val="32"/>
          <w:szCs w:val="32"/>
          <w:shd w:val="clear" w:fill="FFFFFF"/>
          <w:lang w:val="en-US" w:eastAsia="zh-CN" w:bidi="ar"/>
        </w:rPr>
        <w:t>收</w:t>
      </w:r>
      <w:bookmarkStart w:id="0" w:name="_GoBack"/>
      <w:bookmarkEnd w:id="0"/>
      <w:r>
        <w:rPr>
          <w:rFonts w:hint="eastAsia" w:ascii="仿宋_GB2312" w:hAnsi="微软雅黑" w:eastAsia="仿宋_GB2312" w:cs="仿宋_GB2312"/>
          <w:i w:val="0"/>
          <w:iCs w:val="0"/>
          <w:caps w:val="0"/>
          <w:color w:val="333333"/>
          <w:spacing w:val="0"/>
          <w:kern w:val="0"/>
          <w:sz w:val="32"/>
          <w:szCs w:val="32"/>
          <w:shd w:val="clear" w:fill="FFFFFF"/>
          <w:lang w:val="en-US" w:eastAsia="zh-CN" w:bidi="ar"/>
        </w:rPr>
        <w:t>取信息处理费情况。</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D802EEE"/>
    <w:multiLevelType w:val="singleLevel"/>
    <w:tmpl w:val="8D802EEE"/>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liMDdlMTcxNjYzYzY2MmNiZWNhZGFmOTc5YmIwMjYifQ=="/>
  </w:docVars>
  <w:rsids>
    <w:rsidRoot w:val="34896EB9"/>
    <w:rsid w:val="01080A12"/>
    <w:rsid w:val="04247FC0"/>
    <w:rsid w:val="05CB044F"/>
    <w:rsid w:val="146F0F47"/>
    <w:rsid w:val="20C30DDB"/>
    <w:rsid w:val="232556FB"/>
    <w:rsid w:val="30556F21"/>
    <w:rsid w:val="34896EB9"/>
    <w:rsid w:val="35DD1E31"/>
    <w:rsid w:val="3A431E11"/>
    <w:rsid w:val="49085C35"/>
    <w:rsid w:val="4A4F6337"/>
    <w:rsid w:val="532B23A1"/>
    <w:rsid w:val="56077FF2"/>
    <w:rsid w:val="58F17B51"/>
    <w:rsid w:val="5E245F69"/>
    <w:rsid w:val="6E1243EF"/>
    <w:rsid w:val="74003C92"/>
    <w:rsid w:val="7E3471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a</Company>
  <Pages>1</Pages>
  <Words>0</Words>
  <Characters>0</Characters>
  <Lines>0</Lines>
  <Paragraphs>0</Paragraphs>
  <TotalTime>13</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2022-01-07T05:46:00Z</dcterms:created>
  <dc:creator>殇仲秋离</dc:creator>
  <cp:lastModifiedBy>微笑着沉沦</cp:lastModifiedBy>
  <cp:lastPrinted>2023-01-09T08:02:00Z</cp:lastPrinted>
  <dcterms:modified xsi:type="dcterms:W3CDTF">2023-01-18T08:31:11Z</dcterms:modified>
  <dc:title>国务院办公厅政府信息与政务公开办公室</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528511B2226A4E3E932E18366D060727</vt:lpwstr>
  </property>
</Properties>
</file>