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75" w:rsidRPr="00526275" w:rsidRDefault="00427C7F" w:rsidP="00526275">
      <w:pPr>
        <w:pStyle w:val="a7"/>
        <w:shd w:val="clear" w:color="auto" w:fill="FFFFFF"/>
        <w:spacing w:before="0" w:beforeAutospacing="0" w:after="0" w:afterAutospacing="0" w:line="213" w:lineRule="atLeast"/>
        <w:ind w:firstLine="248"/>
        <w:jc w:val="center"/>
        <w:rPr>
          <w:rFonts w:ascii="黑体" w:eastAsia="黑体" w:hAnsi="黑体" w:hint="eastAsia"/>
          <w:color w:val="000000"/>
          <w:sz w:val="28"/>
          <w:szCs w:val="28"/>
        </w:rPr>
      </w:pPr>
      <w:r w:rsidRPr="00427C7F">
        <w:rPr>
          <w:rFonts w:ascii="Simsun" w:hAnsi="Simsun"/>
          <w:color w:val="000000"/>
          <w:sz w:val="27"/>
          <w:szCs w:val="27"/>
        </w:rPr>
        <w:t>​</w:t>
      </w:r>
      <w:r w:rsidR="00526275" w:rsidRPr="00526275">
        <w:rPr>
          <w:rFonts w:ascii="黑体" w:eastAsia="黑体" w:hAnsi="黑体" w:hint="eastAsia"/>
          <w:color w:val="000000"/>
          <w:sz w:val="28"/>
          <w:szCs w:val="28"/>
        </w:rPr>
        <w:t>慈化镇2016年政府信息公开年度报告</w:t>
      </w:r>
    </w:p>
    <w:p w:rsidR="007D6F05" w:rsidRPr="00B83805" w:rsidRDefault="007D6F05" w:rsidP="007D6F05">
      <w:pPr>
        <w:pStyle w:val="a7"/>
        <w:shd w:val="clear" w:color="auto" w:fill="FFFFFF"/>
        <w:spacing w:before="0" w:beforeAutospacing="0" w:after="0" w:afterAutospacing="0" w:line="213" w:lineRule="atLeast"/>
        <w:ind w:firstLine="248"/>
        <w:jc w:val="both"/>
        <w:rPr>
          <w:rFonts w:ascii="仿宋_gb2312" w:eastAsia="仿宋_gb2312" w:hAnsi="Simsun"/>
          <w:color w:val="000000"/>
          <w:sz w:val="16"/>
          <w:szCs w:val="16"/>
        </w:rPr>
      </w:pPr>
      <w:r w:rsidRPr="00B83805">
        <w:rPr>
          <w:rFonts w:ascii="仿宋_gb2312" w:eastAsia="仿宋_gb2312" w:hAnsi="Simsun" w:hint="eastAsia"/>
          <w:color w:val="000000"/>
          <w:sz w:val="16"/>
          <w:szCs w:val="16"/>
        </w:rPr>
        <w:t>根据《中华人民共和国政府信息公开条例》（以下简称《条例》）以及省、市、区政府对信息公开工作有关要求，特向社会公布2016年度慈化镇政府信息公开年度报告。如对本报告有任何疑问，请与本单位政府信息公开受理机构联系（地址：慈化镇人民政府，电话：0795—3188008）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黑体" w:eastAsia="黑体" w:hAnsi="黑体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一、概述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ind w:firstLine="242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2016年，慈化镇政府信息公开工作在区政府信息服务中心的悉心指导下，认真贯彻《条例》，扎实做好信息公开工作。一是及时调整和充实了政务公开工作领导组织，成立了政务信息公开工作领导小组，镇长任组长，组织委员、宣传委员任副组长，党政办全体干部为成员，由党政办落实了3名宣传干事具体负责政务信息公开工作。二是按照省、市、区信息公开工作的相关要求，进一步细化了相关制度和工作措施，完善信息上报制度。同时，通过各种交流活动，交流工作经验，分析存在的问题，不断提高工作水平。三是对2016年以来的政府信息进行了梳理、归类，加大便民服务中心建设力度，及时公开了公共服务事项的相关信息；四是加大对政府信息公开工作督查力度，积极探索加强政府信息公开社会监督的有效办法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ind w:firstLine="242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2016年慈化镇主动公开政府信息主要有以下几个方面：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ind w:firstLine="248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1、概况信息。包括本机关总体情况，机构职能，领导分工和重要活动。</w:t>
      </w:r>
    </w:p>
    <w:p w:rsidR="007D6F05" w:rsidRPr="007D6F05" w:rsidRDefault="007D6F05" w:rsidP="007D6F05">
      <w:pPr>
        <w:widowControl/>
        <w:shd w:val="clear" w:color="auto" w:fill="FFFFFF"/>
        <w:ind w:firstLine="253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2、发展规划。包括本地国民经济和社会发展规划、专项规划及相关政策；本机关年度工作、重点工作、阶段性工作的计划。</w:t>
      </w:r>
    </w:p>
    <w:p w:rsidR="007D6F05" w:rsidRPr="007D6F05" w:rsidRDefault="007D6F05" w:rsidP="007D6F05">
      <w:pPr>
        <w:widowControl/>
        <w:shd w:val="clear" w:color="auto" w:fill="FFFFFF"/>
        <w:ind w:firstLine="253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3、工作动态。包括本机关重要会议、经济社会发展、惠民实事项目等最新动态；政务公告、公示。</w:t>
      </w:r>
    </w:p>
    <w:p w:rsidR="007D6F05" w:rsidRPr="007D6F05" w:rsidRDefault="007D6F05" w:rsidP="007D6F05">
      <w:pPr>
        <w:widowControl/>
        <w:shd w:val="clear" w:color="auto" w:fill="FFFFFF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4、人事信息。包括干部任免、分工公告。</w:t>
      </w:r>
    </w:p>
    <w:p w:rsidR="007D6F05" w:rsidRPr="007D6F05" w:rsidRDefault="007D6F05" w:rsidP="007D6F05">
      <w:pPr>
        <w:widowControl/>
        <w:shd w:val="clear" w:color="auto" w:fill="FFFFFF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5、财经信息。包括财政预决算及审计情况；招商引资情况。</w:t>
      </w:r>
    </w:p>
    <w:p w:rsidR="007D6F05" w:rsidRPr="007D6F05" w:rsidRDefault="007D6F05" w:rsidP="007D6F05">
      <w:pPr>
        <w:widowControl/>
        <w:shd w:val="clear" w:color="auto" w:fill="FFFFFF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6、公共服务。政府有关面向公民和其他经营者服务方面的信息。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ind w:firstLine="363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7、其他需要公开的信息。</w:t>
      </w:r>
    </w:p>
    <w:p w:rsidR="007D6F05" w:rsidRPr="007D6F05" w:rsidRDefault="007D6F05" w:rsidP="007D6F05">
      <w:pPr>
        <w:widowControl/>
        <w:shd w:val="clear" w:color="auto" w:fill="FFFFFF"/>
        <w:spacing w:line="161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二、主动公开政府信息情况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br/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    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我镇一是通过宜春新闻网、袁州区政务网等网站，及时向社会发布我镇工作动态信息；二是通过袁州区政务信息公开网络平台，及时对外公开我镇最新工作信息，确保信息的时效性；三是通过便民服务大厅和党务、政务、村务公开栏，定期公开社会公共服务事项信息、基层民主政治建设、项目推进情况等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三、政府信息依申请公开情况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br/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没有依申请公开政府信息办理事项。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四、政府信息公开的收费及减免情况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br/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2016年度以来，我镇政府信息公开没有收费及减免的情况。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黑体" w:eastAsia="黑体" w:hAnsi="黑体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五、因政府信息公开申请行政复议、提起行政诉讼情况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ind w:firstLine="248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2016年我镇没有发生因政府信息公开引发的举报、投诉、行政复议和行政诉讼事件。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黑体" w:eastAsia="黑体" w:hAnsi="黑体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六、存在的主要问题和改进措施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  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（一）主要问题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一是少数干部对实行政务公开的重要意义认识不足，工作被动应付，对群众的意见重视不够、研究不够。二是有的公开内容不规范、不具体，重点不突出，许多应事前公开的内容变成了事后公开，有的公开内容长期不更新或缺乏动态内容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（二）改进措施</w:t>
      </w:r>
    </w:p>
    <w:p w:rsidR="00B83805" w:rsidRPr="00B83805" w:rsidRDefault="007D6F05" w:rsidP="007D6F05">
      <w:pPr>
        <w:widowControl/>
        <w:shd w:val="clear" w:color="auto" w:fill="FFFFFF"/>
        <w:spacing w:line="213" w:lineRule="atLeast"/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  </w:t>
      </w: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一是进一步提高对政务公开工作的认识，切实提高做好政务公开工作的认识；二是进一步加强对政务公开工作的领导和监督，健全有关检查制度、责任追究制度、反馈制度，确保把政务公开工作落到实处；三是进一步规范和完善政务公开的内容、形式，对涉及人民群众关心的重大问题、重大决策应及时公开。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rPr>
          <w:rFonts w:ascii="黑体" w:eastAsia="黑体" w:hAnsi="黑体" w:cs="宋体"/>
          <w:color w:val="000000"/>
          <w:kern w:val="0"/>
          <w:sz w:val="16"/>
          <w:szCs w:val="16"/>
        </w:rPr>
      </w:pPr>
      <w:r w:rsidRPr="007D6F05">
        <w:rPr>
          <w:rFonts w:ascii="黑体" w:eastAsia="黑体" w:hAnsi="黑体" w:cs="宋体" w:hint="eastAsia"/>
          <w:color w:val="000000"/>
          <w:kern w:val="0"/>
          <w:sz w:val="16"/>
          <w:szCs w:val="16"/>
        </w:rPr>
        <w:t>七、其他需要报告的事项</w:t>
      </w:r>
    </w:p>
    <w:p w:rsidR="007D6F05" w:rsidRPr="007D6F05" w:rsidRDefault="007D6F05" w:rsidP="007D6F05">
      <w:pPr>
        <w:widowControl/>
        <w:shd w:val="clear" w:color="auto" w:fill="FFFFFF"/>
        <w:spacing w:line="213" w:lineRule="atLeast"/>
        <w:ind w:firstLine="248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无</w:t>
      </w:r>
    </w:p>
    <w:p w:rsidR="00B83805" w:rsidRDefault="00B83805" w:rsidP="007D6F05">
      <w:pPr>
        <w:widowControl/>
        <w:shd w:val="clear" w:color="auto" w:fill="FFFFFF"/>
        <w:spacing w:line="161" w:lineRule="atLeast"/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</w:pPr>
    </w:p>
    <w:p w:rsidR="00B83805" w:rsidRDefault="00B83805" w:rsidP="007D6F05">
      <w:pPr>
        <w:widowControl/>
        <w:shd w:val="clear" w:color="auto" w:fill="FFFFFF"/>
        <w:spacing w:line="161" w:lineRule="atLeast"/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</w:pPr>
    </w:p>
    <w:p w:rsidR="00B83805" w:rsidRDefault="00B83805" w:rsidP="007D6F05">
      <w:pPr>
        <w:widowControl/>
        <w:shd w:val="clear" w:color="auto" w:fill="FFFFFF"/>
        <w:spacing w:line="161" w:lineRule="atLeast"/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</w:pPr>
    </w:p>
    <w:p w:rsidR="00B83805" w:rsidRDefault="00B83805" w:rsidP="007D6F05">
      <w:pPr>
        <w:widowControl/>
        <w:shd w:val="clear" w:color="auto" w:fill="FFFFFF"/>
        <w:spacing w:line="161" w:lineRule="atLeast"/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</w:pPr>
    </w:p>
    <w:p w:rsidR="007D6F05" w:rsidRPr="007D6F05" w:rsidRDefault="007D6F05" w:rsidP="007D6F05">
      <w:pPr>
        <w:widowControl/>
        <w:shd w:val="clear" w:color="auto" w:fill="FFFFFF"/>
        <w:spacing w:line="161" w:lineRule="atLeas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>附件1</w:t>
      </w:r>
    </w:p>
    <w:p w:rsidR="007D6F05" w:rsidRPr="007D6F05" w:rsidRDefault="007D6F05" w:rsidP="00B83805">
      <w:pPr>
        <w:widowControl/>
        <w:shd w:val="clear" w:color="auto" w:fill="FBF8F2"/>
        <w:spacing w:before="29" w:after="29" w:line="248" w:lineRule="atLeast"/>
        <w:jc w:val="lef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/>
          <w:color w:val="000000"/>
          <w:kern w:val="0"/>
          <w:sz w:val="16"/>
          <w:szCs w:val="16"/>
        </w:rPr>
        <w:t>政府信息公开情况统计表</w:t>
      </w:r>
      <w:r w:rsidRPr="007D6F05">
        <w:rPr>
          <w:rFonts w:ascii="仿宋_gb2312" w:eastAsia="仿宋_gb2312" w:hAnsi="Simsun" w:cs="宋体"/>
          <w:color w:val="000000"/>
          <w:kern w:val="0"/>
          <w:sz w:val="16"/>
          <w:szCs w:val="16"/>
        </w:rPr>
        <w:br/>
        <w:t>（2016年度）</w:t>
      </w:r>
    </w:p>
    <w:p w:rsidR="007D6F05" w:rsidRPr="007D6F05" w:rsidRDefault="007D6F05" w:rsidP="007D6F05">
      <w:pPr>
        <w:widowControl/>
        <w:shd w:val="clear" w:color="auto" w:fill="FBF8F2"/>
        <w:spacing w:before="29" w:after="29" w:line="230" w:lineRule="atLeast"/>
        <w:jc w:val="lef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7D6F05">
        <w:rPr>
          <w:rFonts w:ascii="仿宋_gb2312" w:eastAsia="仿宋_gb2312" w:hAnsi="Simsun" w:cs="宋体"/>
          <w:color w:val="000000"/>
          <w:kern w:val="0"/>
          <w:sz w:val="16"/>
          <w:szCs w:val="16"/>
        </w:rPr>
        <w:t> </w:t>
      </w:r>
      <w:r w:rsidRPr="007D6F05">
        <w:rPr>
          <w:rFonts w:ascii="仿宋_gb2312" w:eastAsia="仿宋_gb2312" w:hAnsi="Simsun" w:cs="宋体"/>
          <w:color w:val="000000"/>
          <w:kern w:val="0"/>
          <w:sz w:val="16"/>
          <w:szCs w:val="16"/>
        </w:rPr>
        <w:t>填报单位（盖章）：慈化镇人民政府</w:t>
      </w:r>
    </w:p>
    <w:tbl>
      <w:tblPr>
        <w:tblW w:w="4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388"/>
        <w:gridCol w:w="343"/>
      </w:tblGrid>
      <w:tr w:rsidR="007D6F05" w:rsidRPr="007D6F05" w:rsidTr="007D6F05">
        <w:trPr>
          <w:trHeight w:val="207"/>
          <w:tblHeader/>
        </w:trPr>
        <w:tc>
          <w:tcPr>
            <w:tcW w:w="338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20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统　计　指　标</w:t>
            </w:r>
          </w:p>
        </w:tc>
        <w:tc>
          <w:tcPr>
            <w:tcW w:w="388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20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343" w:type="dxa"/>
            <w:tcBorders>
              <w:top w:val="outset" w:sz="2" w:space="0" w:color="auto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20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统计数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一、主动公开情况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（一）主动公开政府信息数</w:t>
            </w:r>
          </w:p>
          <w:p w:rsidR="007D6F05" w:rsidRPr="007D6F05" w:rsidRDefault="007D6F05" w:rsidP="007D6F05">
            <w:pPr>
              <w:widowControl/>
              <w:spacing w:before="29" w:after="29" w:line="156" w:lineRule="atLeast"/>
              <w:ind w:firstLine="415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（不同渠道和方式公开相同信息计1条）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其中：主动公开规范性文件数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　　　制发规范性文件总数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（二）通过不同渠道和方式公开政府信息的情况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1.政府公报公开政府信息数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2.政府网站公开政府信息数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3.政务微博公开政府信息数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60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4.政务微信公开政府信息数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5.其他方式公开政府信息数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rPr>
          <w:trHeight w:val="138"/>
        </w:trPr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38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二、回应解读情况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38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38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D6F05" w:rsidRPr="007D6F05" w:rsidTr="007D6F05">
        <w:trPr>
          <w:trHeight w:val="311"/>
        </w:trPr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（一）回应公众关注热点或重大舆情数</w:t>
            </w:r>
          </w:p>
          <w:p w:rsidR="007D6F05" w:rsidRPr="007D6F05" w:rsidRDefault="007D6F05" w:rsidP="007D6F05">
            <w:pPr>
              <w:widowControl/>
              <w:spacing w:before="29" w:after="29" w:line="156" w:lineRule="atLeast"/>
              <w:ind w:firstLine="369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（不同方式回应同一热点或舆情计1次）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（二）通过不同渠道和方式回应解读的情况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1.参加或举办新闻发布会总次数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rPr>
          <w:trHeight w:val="144"/>
        </w:trPr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44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其中：主要负责同志参加新闻发布会次数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44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44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2.政府网站在线访谈次数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其中：主要负责同志参加政府网站在线访谈次数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3.政策解读稿件发布数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篇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4.微博微信回应事件数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5.其他方式回应事件数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56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三、依申请公开情况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（一）收到申请数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1.当面申请数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2.传真申请数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3.网络申请数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lastRenderedPageBreak/>
              <w:t>4.信函申请数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（二）申请办结数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1.按时办结数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2.延期办结数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（三）申请答复数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1.属于已主动公开范围数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2.同意公开答复数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3.同意部分公开答复数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4.不同意公开答复数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其中：涉及国家秘密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　　　涉及商业秘密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　　　涉及个人隐私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危及国家安全、公共安全、经济安全和社会稳定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　　　不是《条例》所指政府信息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rPr>
          <w:trHeight w:val="161"/>
        </w:trPr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1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 xml:space="preserve">　　　　　　　　　法律法规规定的其他情形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jc w:val="left"/>
              <w:rPr>
                <w:rFonts w:ascii="仿宋_gb2312" w:eastAsia="仿宋_gb2312" w:hAnsi="Simsun" w:cs="宋体" w:hint="eastAsia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​</w:t>
            </w:r>
          </w:p>
          <w:p w:rsidR="007D6F05" w:rsidRPr="007D6F05" w:rsidRDefault="007D6F05" w:rsidP="007D6F05">
            <w:pPr>
              <w:widowControl/>
              <w:spacing w:before="29" w:after="29" w:line="161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1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rPr>
          <w:trHeight w:val="161"/>
        </w:trPr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1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5.不属于本行政机关公开数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1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1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6.申请信息不存在数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7.告知作出更改补充数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79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7D6F05" w:rsidRPr="007D6F05" w:rsidTr="007D6F05">
        <w:tc>
          <w:tcPr>
            <w:tcW w:w="3387" w:type="dxa"/>
            <w:tcBorders>
              <w:top w:val="nil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left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8.告知通过其他途径办理数</w:t>
            </w:r>
          </w:p>
        </w:tc>
        <w:tc>
          <w:tcPr>
            <w:tcW w:w="388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343" w:type="dxa"/>
            <w:tcBorders>
              <w:top w:val="nil"/>
              <w:left w:val="nil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D6F05" w:rsidRPr="007D6F05" w:rsidRDefault="007D6F05" w:rsidP="007D6F05">
            <w:pPr>
              <w:widowControl/>
              <w:spacing w:before="29" w:after="29" w:line="167" w:lineRule="atLeast"/>
              <w:jc w:val="center"/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</w:pPr>
            <w:r w:rsidRPr="007D6F05">
              <w:rPr>
                <w:rFonts w:ascii="仿宋_gb2312" w:eastAsia="仿宋_gb2312" w:hAnsi="Simsun" w:cs="宋体"/>
                <w:color w:val="000000"/>
                <w:kern w:val="0"/>
                <w:sz w:val="16"/>
                <w:szCs w:val="16"/>
              </w:rPr>
              <w:t>0</w:t>
            </w:r>
          </w:p>
        </w:tc>
      </w:tr>
    </w:tbl>
    <w:p w:rsidR="00D93671" w:rsidRPr="002F0ECB" w:rsidRDefault="00D93671" w:rsidP="00B83805">
      <w:pPr>
        <w:widowControl/>
        <w:shd w:val="clear" w:color="auto" w:fill="FFFFFF"/>
        <w:wordWrap w:val="0"/>
        <w:spacing w:line="560" w:lineRule="exact"/>
        <w:ind w:firstLineChars="250" w:firstLine="400"/>
        <w:jc w:val="right"/>
        <w:rPr>
          <w:rFonts w:ascii="仿宋_gb2312" w:eastAsia="仿宋_gb2312" w:hAnsi="Simsun" w:cs="宋体"/>
          <w:color w:val="000000"/>
          <w:kern w:val="0"/>
          <w:sz w:val="16"/>
          <w:szCs w:val="16"/>
        </w:rPr>
      </w:pPr>
      <w:r w:rsidRPr="002F0ECB">
        <w:rPr>
          <w:rFonts w:ascii="仿宋_gb2312" w:eastAsia="仿宋_gb2312" w:hAnsi="Simsun" w:cs="宋体" w:hint="eastAsia"/>
          <w:color w:val="000000"/>
          <w:kern w:val="0"/>
          <w:sz w:val="16"/>
          <w:szCs w:val="16"/>
        </w:rPr>
        <w:t xml:space="preserve"> </w:t>
      </w:r>
    </w:p>
    <w:sectPr w:rsidR="00D93671" w:rsidRPr="002F0ECB" w:rsidSect="005B4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B1" w:rsidRDefault="00CA22B1" w:rsidP="00D93671">
      <w:pPr>
        <w:ind w:left="-105" w:firstLine="640"/>
      </w:pPr>
      <w:r>
        <w:separator/>
      </w:r>
    </w:p>
  </w:endnote>
  <w:endnote w:type="continuationSeparator" w:id="1">
    <w:p w:rsidR="00CA22B1" w:rsidRDefault="00CA22B1" w:rsidP="00D93671">
      <w:pPr>
        <w:ind w:left="-105"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B1" w:rsidRDefault="00CA22B1" w:rsidP="00D93671">
      <w:pPr>
        <w:ind w:left="-105" w:firstLine="640"/>
      </w:pPr>
      <w:r>
        <w:separator/>
      </w:r>
    </w:p>
  </w:footnote>
  <w:footnote w:type="continuationSeparator" w:id="1">
    <w:p w:rsidR="00CA22B1" w:rsidRDefault="00CA22B1" w:rsidP="00D93671">
      <w:pPr>
        <w:ind w:left="-105"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D61"/>
    <w:rsid w:val="000303A3"/>
    <w:rsid w:val="0007267A"/>
    <w:rsid w:val="0008531B"/>
    <w:rsid w:val="000A1559"/>
    <w:rsid w:val="000A7926"/>
    <w:rsid w:val="000C0813"/>
    <w:rsid w:val="001377C7"/>
    <w:rsid w:val="0015767B"/>
    <w:rsid w:val="00161EFB"/>
    <w:rsid w:val="0016260C"/>
    <w:rsid w:val="001B08C2"/>
    <w:rsid w:val="001B3DD7"/>
    <w:rsid w:val="001E684B"/>
    <w:rsid w:val="00205EF2"/>
    <w:rsid w:val="002121E9"/>
    <w:rsid w:val="00245219"/>
    <w:rsid w:val="00247B66"/>
    <w:rsid w:val="00281AE4"/>
    <w:rsid w:val="00282851"/>
    <w:rsid w:val="00295F21"/>
    <w:rsid w:val="00296855"/>
    <w:rsid w:val="002E272A"/>
    <w:rsid w:val="002E39B7"/>
    <w:rsid w:val="002F0ECB"/>
    <w:rsid w:val="00310D17"/>
    <w:rsid w:val="00360964"/>
    <w:rsid w:val="003729D5"/>
    <w:rsid w:val="003B1471"/>
    <w:rsid w:val="003D7BAF"/>
    <w:rsid w:val="003F468B"/>
    <w:rsid w:val="00413CB3"/>
    <w:rsid w:val="00427C7F"/>
    <w:rsid w:val="004305EE"/>
    <w:rsid w:val="004350A0"/>
    <w:rsid w:val="00452058"/>
    <w:rsid w:val="00457BD7"/>
    <w:rsid w:val="00473234"/>
    <w:rsid w:val="004833FD"/>
    <w:rsid w:val="004943DD"/>
    <w:rsid w:val="004A4FD0"/>
    <w:rsid w:val="004B3D5F"/>
    <w:rsid w:val="004C2266"/>
    <w:rsid w:val="004E1664"/>
    <w:rsid w:val="004F544D"/>
    <w:rsid w:val="00505200"/>
    <w:rsid w:val="00520507"/>
    <w:rsid w:val="00526275"/>
    <w:rsid w:val="005320FF"/>
    <w:rsid w:val="00587972"/>
    <w:rsid w:val="005B4694"/>
    <w:rsid w:val="005C7A1A"/>
    <w:rsid w:val="005D4C47"/>
    <w:rsid w:val="005D750D"/>
    <w:rsid w:val="00605D80"/>
    <w:rsid w:val="00606549"/>
    <w:rsid w:val="00610EB5"/>
    <w:rsid w:val="00627778"/>
    <w:rsid w:val="006436C8"/>
    <w:rsid w:val="00656717"/>
    <w:rsid w:val="00675308"/>
    <w:rsid w:val="006B6EC7"/>
    <w:rsid w:val="006C5801"/>
    <w:rsid w:val="006C6F47"/>
    <w:rsid w:val="006D7910"/>
    <w:rsid w:val="006E1BE1"/>
    <w:rsid w:val="006F3BC9"/>
    <w:rsid w:val="007334F1"/>
    <w:rsid w:val="00742B96"/>
    <w:rsid w:val="00746FF1"/>
    <w:rsid w:val="00750C0B"/>
    <w:rsid w:val="00757C15"/>
    <w:rsid w:val="007A0331"/>
    <w:rsid w:val="007A0871"/>
    <w:rsid w:val="007D4505"/>
    <w:rsid w:val="007D468B"/>
    <w:rsid w:val="007D6F05"/>
    <w:rsid w:val="00801557"/>
    <w:rsid w:val="008063AF"/>
    <w:rsid w:val="00830B1C"/>
    <w:rsid w:val="0084167A"/>
    <w:rsid w:val="00845EFD"/>
    <w:rsid w:val="00860BE6"/>
    <w:rsid w:val="008633B1"/>
    <w:rsid w:val="00896344"/>
    <w:rsid w:val="008A5D6D"/>
    <w:rsid w:val="008F0961"/>
    <w:rsid w:val="00901D61"/>
    <w:rsid w:val="00902907"/>
    <w:rsid w:val="00932C06"/>
    <w:rsid w:val="009537E9"/>
    <w:rsid w:val="009D36AF"/>
    <w:rsid w:val="00A02592"/>
    <w:rsid w:val="00A17813"/>
    <w:rsid w:val="00A34E54"/>
    <w:rsid w:val="00A37260"/>
    <w:rsid w:val="00A557EC"/>
    <w:rsid w:val="00A55DF9"/>
    <w:rsid w:val="00A57F3A"/>
    <w:rsid w:val="00AB0076"/>
    <w:rsid w:val="00AB4337"/>
    <w:rsid w:val="00AC7AA9"/>
    <w:rsid w:val="00AE653D"/>
    <w:rsid w:val="00AF3A17"/>
    <w:rsid w:val="00B11016"/>
    <w:rsid w:val="00B346B1"/>
    <w:rsid w:val="00B34EBF"/>
    <w:rsid w:val="00B458D7"/>
    <w:rsid w:val="00B52690"/>
    <w:rsid w:val="00B55A91"/>
    <w:rsid w:val="00B702AD"/>
    <w:rsid w:val="00B762D7"/>
    <w:rsid w:val="00B83364"/>
    <w:rsid w:val="00B83805"/>
    <w:rsid w:val="00BA55B2"/>
    <w:rsid w:val="00BB3CE0"/>
    <w:rsid w:val="00BD3937"/>
    <w:rsid w:val="00BD699E"/>
    <w:rsid w:val="00BE5871"/>
    <w:rsid w:val="00BF3EE5"/>
    <w:rsid w:val="00C112F4"/>
    <w:rsid w:val="00C216C6"/>
    <w:rsid w:val="00C3464B"/>
    <w:rsid w:val="00C3545E"/>
    <w:rsid w:val="00C645C8"/>
    <w:rsid w:val="00CA22B1"/>
    <w:rsid w:val="00CE7074"/>
    <w:rsid w:val="00CF606E"/>
    <w:rsid w:val="00D23547"/>
    <w:rsid w:val="00D4357D"/>
    <w:rsid w:val="00D63552"/>
    <w:rsid w:val="00D8575F"/>
    <w:rsid w:val="00D93671"/>
    <w:rsid w:val="00DE6E79"/>
    <w:rsid w:val="00E14B6C"/>
    <w:rsid w:val="00E500B4"/>
    <w:rsid w:val="00E629AE"/>
    <w:rsid w:val="00E755C4"/>
    <w:rsid w:val="00E9423A"/>
    <w:rsid w:val="00EC33C9"/>
    <w:rsid w:val="00EE49B7"/>
    <w:rsid w:val="00F03113"/>
    <w:rsid w:val="00F13105"/>
    <w:rsid w:val="00F143A8"/>
    <w:rsid w:val="00F15538"/>
    <w:rsid w:val="00F77882"/>
    <w:rsid w:val="00FB425E"/>
    <w:rsid w:val="00FB7530"/>
    <w:rsid w:val="03FD0A56"/>
    <w:rsid w:val="07A72461"/>
    <w:rsid w:val="0B070D0F"/>
    <w:rsid w:val="0DEF1322"/>
    <w:rsid w:val="0E6E1425"/>
    <w:rsid w:val="0E8048A9"/>
    <w:rsid w:val="223B22F9"/>
    <w:rsid w:val="30E000EB"/>
    <w:rsid w:val="31467600"/>
    <w:rsid w:val="34D736DC"/>
    <w:rsid w:val="383C231F"/>
    <w:rsid w:val="47106177"/>
    <w:rsid w:val="4C34666D"/>
    <w:rsid w:val="5F860306"/>
    <w:rsid w:val="5F887F9C"/>
    <w:rsid w:val="63E17A92"/>
    <w:rsid w:val="684B554A"/>
    <w:rsid w:val="6A8B4013"/>
    <w:rsid w:val="6E131480"/>
    <w:rsid w:val="706759A1"/>
    <w:rsid w:val="750E3BE8"/>
    <w:rsid w:val="7B884AF1"/>
    <w:rsid w:val="7D84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qFormat/>
    <w:rsid w:val="005B4694"/>
    <w:pPr>
      <w:snapToGrid w:val="0"/>
      <w:jc w:val="left"/>
    </w:pPr>
    <w:rPr>
      <w:rFonts w:ascii="Calibri" w:eastAsia="宋体" w:hAnsi="Calibri" w:cs="宋体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5B4694"/>
    <w:rPr>
      <w:vertAlign w:val="superscript"/>
    </w:rPr>
  </w:style>
  <w:style w:type="character" w:customStyle="1" w:styleId="Char0">
    <w:name w:val="页眉 Char"/>
    <w:basedOn w:val="a0"/>
    <w:link w:val="a4"/>
    <w:uiPriority w:val="99"/>
    <w:semiHidden/>
    <w:rsid w:val="005B46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4694"/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rsid w:val="005B4694"/>
    <w:rPr>
      <w:rFonts w:ascii="Calibri" w:eastAsia="宋体" w:hAnsi="Calibri" w:cs="宋体"/>
      <w:sz w:val="18"/>
      <w:szCs w:val="18"/>
    </w:rPr>
  </w:style>
  <w:style w:type="paragraph" w:styleId="a7">
    <w:name w:val="Normal (Web)"/>
    <w:basedOn w:val="a"/>
    <w:uiPriority w:val="99"/>
    <w:unhideWhenUsed/>
    <w:rsid w:val="00427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2020-11-12T04:58:00Z</cp:lastPrinted>
  <dcterms:created xsi:type="dcterms:W3CDTF">2021-04-30T18:00:00Z</dcterms:created>
  <dcterms:modified xsi:type="dcterms:W3CDTF">2021-04-30T18:01:00Z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